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6440D" w14:textId="1DD74698" w:rsidR="00954ADA" w:rsidRDefault="00954ADA" w:rsidP="00954ADA">
      <w:pPr>
        <w:pStyle w:val="Styl1"/>
        <w:rPr>
          <w:rFonts w:cs="Arial"/>
        </w:rPr>
      </w:pPr>
      <w:bookmarkStart w:id="0" w:name="_Hlk166583120"/>
      <w:r w:rsidRPr="00376144">
        <w:rPr>
          <w:rFonts w:cs="Arial"/>
          <w:b/>
          <w:bCs/>
        </w:rPr>
        <w:t xml:space="preserve">Załącznik nr </w:t>
      </w:r>
      <w:r w:rsidR="00627B71">
        <w:rPr>
          <w:rFonts w:cs="Arial"/>
          <w:b/>
          <w:bCs/>
        </w:rPr>
        <w:t>5</w:t>
      </w:r>
      <w:r>
        <w:rPr>
          <w:rFonts w:cs="Arial"/>
          <w:b/>
          <w:bCs/>
        </w:rPr>
        <w:t xml:space="preserve"> do SWIZ</w:t>
      </w:r>
    </w:p>
    <w:p w14:paraId="7EAD4BCF" w14:textId="77777777" w:rsidR="00954ADA" w:rsidRPr="00A14D9B" w:rsidRDefault="00954ADA" w:rsidP="00954ADA">
      <w:pPr>
        <w:pStyle w:val="Styl1"/>
        <w:rPr>
          <w:i/>
        </w:rPr>
      </w:pPr>
      <w:r>
        <w:rPr>
          <w:rFonts w:cs="Arial"/>
        </w:rPr>
        <w:t xml:space="preserve"> </w:t>
      </w:r>
      <w:r w:rsidRPr="00A14D9B">
        <w:rPr>
          <w:rFonts w:cs="Arial"/>
        </w:rPr>
        <w:t xml:space="preserve">– </w:t>
      </w:r>
      <w:r>
        <w:rPr>
          <w:rFonts w:cs="Arial"/>
        </w:rPr>
        <w:t>Opis przedmiotu zamówienia</w:t>
      </w:r>
    </w:p>
    <w:p w14:paraId="59424107" w14:textId="1078B6A3" w:rsidR="00954ADA" w:rsidRPr="00E421F9" w:rsidRDefault="00954ADA" w:rsidP="00954ADA">
      <w:pPr>
        <w:spacing w:before="120" w:after="120"/>
        <w:rPr>
          <w:rFonts w:ascii="Arial" w:hAnsi="Arial" w:cs="Arial"/>
          <w:b/>
          <w:color w:val="000000" w:themeColor="text1"/>
          <w:sz w:val="22"/>
          <w:szCs w:val="22"/>
        </w:rPr>
      </w:pPr>
      <w:r>
        <w:rPr>
          <w:rFonts w:ascii="Arial" w:hAnsi="Arial" w:cs="Arial"/>
          <w:sz w:val="22"/>
          <w:szCs w:val="22"/>
        </w:rPr>
        <w:t xml:space="preserve">Nr sprawy: </w:t>
      </w:r>
      <w:r w:rsidRPr="00E421F9">
        <w:rPr>
          <w:rFonts w:ascii="Arial" w:hAnsi="Arial" w:cs="Arial"/>
          <w:b/>
          <w:color w:val="000000" w:themeColor="text1"/>
          <w:sz w:val="22"/>
          <w:szCs w:val="22"/>
        </w:rPr>
        <w:t>Z</w:t>
      </w:r>
      <w:r>
        <w:rPr>
          <w:rFonts w:ascii="Arial" w:hAnsi="Arial" w:cs="Arial"/>
          <w:b/>
          <w:color w:val="000000" w:themeColor="text1"/>
          <w:sz w:val="22"/>
          <w:szCs w:val="22"/>
        </w:rPr>
        <w:t>-</w:t>
      </w:r>
      <w:r w:rsidR="006B73A5">
        <w:rPr>
          <w:rFonts w:ascii="Arial" w:hAnsi="Arial" w:cs="Arial"/>
          <w:b/>
          <w:color w:val="000000" w:themeColor="text1"/>
          <w:sz w:val="22"/>
          <w:szCs w:val="22"/>
        </w:rPr>
        <w:t>1</w:t>
      </w:r>
      <w:r w:rsidR="00EE6504">
        <w:rPr>
          <w:rFonts w:ascii="Arial" w:hAnsi="Arial" w:cs="Arial"/>
          <w:b/>
          <w:color w:val="000000" w:themeColor="text1"/>
          <w:sz w:val="22"/>
          <w:szCs w:val="22"/>
        </w:rPr>
        <w:t>69</w:t>
      </w:r>
      <w:r w:rsidRPr="00E421F9">
        <w:rPr>
          <w:rFonts w:ascii="Arial" w:hAnsi="Arial" w:cs="Arial"/>
          <w:b/>
          <w:color w:val="000000" w:themeColor="text1"/>
          <w:sz w:val="22"/>
          <w:szCs w:val="22"/>
        </w:rPr>
        <w:t>/</w:t>
      </w:r>
      <w:r w:rsidR="0031291A">
        <w:rPr>
          <w:rFonts w:ascii="Arial" w:hAnsi="Arial" w:cs="Arial"/>
          <w:b/>
          <w:color w:val="000000" w:themeColor="text1"/>
          <w:sz w:val="22"/>
          <w:szCs w:val="22"/>
        </w:rPr>
        <w:t>U</w:t>
      </w:r>
      <w:r w:rsidRPr="00E421F9">
        <w:rPr>
          <w:rFonts w:ascii="Arial" w:hAnsi="Arial" w:cs="Arial"/>
          <w:b/>
          <w:color w:val="000000" w:themeColor="text1"/>
          <w:sz w:val="22"/>
          <w:szCs w:val="22"/>
        </w:rPr>
        <w:t>/RZ/2026</w:t>
      </w:r>
    </w:p>
    <w:p w14:paraId="5DC59B0F" w14:textId="1636E3F4" w:rsidR="00954ADA" w:rsidRPr="00E421F9" w:rsidRDefault="00954ADA" w:rsidP="00954ADA">
      <w:pPr>
        <w:spacing w:after="120"/>
        <w:rPr>
          <w:rFonts w:ascii="Arial" w:hAnsi="Arial" w:cs="Arial"/>
          <w:sz w:val="22"/>
          <w:szCs w:val="22"/>
        </w:rPr>
      </w:pPr>
      <w:r w:rsidRPr="00E421F9">
        <w:rPr>
          <w:rFonts w:ascii="Arial" w:hAnsi="Arial" w:cs="Arial"/>
          <w:color w:val="000000" w:themeColor="text1"/>
          <w:sz w:val="22"/>
          <w:szCs w:val="22"/>
        </w:rPr>
        <w:t>Zamówienie pn</w:t>
      </w:r>
      <w:r w:rsidR="00EE6504">
        <w:rPr>
          <w:rFonts w:ascii="Arial" w:hAnsi="Arial" w:cs="Arial"/>
          <w:color w:val="000000" w:themeColor="text1"/>
          <w:sz w:val="22"/>
          <w:szCs w:val="22"/>
        </w:rPr>
        <w:t xml:space="preserve">. </w:t>
      </w:r>
      <w:r w:rsidR="00EE6504" w:rsidRPr="0052182D">
        <w:rPr>
          <w:rFonts w:ascii="Arial" w:hAnsi="Arial" w:cs="Arial"/>
          <w:b/>
          <w:i/>
          <w:color w:val="000000"/>
        </w:rPr>
        <w:t>„</w:t>
      </w:r>
      <w:r w:rsidR="00EE6504">
        <w:rPr>
          <w:rFonts w:ascii="Arial" w:hAnsi="Arial" w:cs="Arial"/>
          <w:b/>
          <w:i/>
          <w:color w:val="000000"/>
        </w:rPr>
        <w:t>Migracja systemu sterowania przepompownią PK-1 do sterownika SIMATIC S7-1500”</w:t>
      </w:r>
    </w:p>
    <w:p w14:paraId="00DA6F69" w14:textId="77777777" w:rsidR="00954ADA" w:rsidRPr="0016624A" w:rsidRDefault="00954ADA" w:rsidP="00954ADA">
      <w:pPr>
        <w:spacing w:after="120"/>
        <w:rPr>
          <w:rFonts w:ascii="Arial" w:hAnsi="Arial" w:cs="Arial"/>
          <w:b/>
          <w:sz w:val="22"/>
          <w:szCs w:val="22"/>
        </w:rPr>
      </w:pPr>
      <w:r w:rsidRPr="00AD4FC2">
        <w:rPr>
          <w:rFonts w:ascii="Arial" w:hAnsi="Arial" w:cs="Arial"/>
          <w:sz w:val="22"/>
          <w:szCs w:val="22"/>
        </w:rPr>
        <w:t>ZAMAWIAJACY:</w:t>
      </w:r>
      <w:r>
        <w:rPr>
          <w:rFonts w:ascii="Arial" w:hAnsi="Arial" w:cs="Arial"/>
          <w:sz w:val="22"/>
          <w:szCs w:val="22"/>
        </w:rPr>
        <w:t xml:space="preserve"> </w:t>
      </w:r>
      <w:r w:rsidRPr="00DE137B">
        <w:rPr>
          <w:rFonts w:ascii="Arial" w:hAnsi="Arial" w:cs="Arial"/>
          <w:b/>
          <w:sz w:val="22"/>
          <w:szCs w:val="22"/>
        </w:rPr>
        <w:t xml:space="preserve">Miejskie Wodociągi i Kanalizacja w Bydgoszczy </w:t>
      </w:r>
      <w:r>
        <w:rPr>
          <w:rFonts w:ascii="Arial" w:hAnsi="Arial" w:cs="Arial"/>
          <w:b/>
          <w:sz w:val="22"/>
          <w:szCs w:val="22"/>
        </w:rPr>
        <w:t>- s</w:t>
      </w:r>
      <w:r w:rsidRPr="00DE137B">
        <w:rPr>
          <w:rFonts w:ascii="Arial" w:hAnsi="Arial" w:cs="Arial"/>
          <w:b/>
          <w:sz w:val="22"/>
          <w:szCs w:val="22"/>
        </w:rPr>
        <w:t>półka z o.o.</w:t>
      </w:r>
    </w:p>
    <w:bookmarkEnd w:id="0"/>
    <w:p w14:paraId="56F0C445" w14:textId="77777777" w:rsidR="00954ADA" w:rsidRPr="00E50DF8" w:rsidRDefault="00954ADA" w:rsidP="00954ADA">
      <w:pPr>
        <w:tabs>
          <w:tab w:val="left" w:pos="0"/>
        </w:tabs>
        <w:jc w:val="both"/>
        <w:rPr>
          <w:rFonts w:ascii="Arial" w:hAnsi="Arial"/>
          <w:b/>
          <w:sz w:val="20"/>
          <w:szCs w:val="20"/>
          <w:u w:val="single"/>
        </w:rPr>
      </w:pPr>
    </w:p>
    <w:p w14:paraId="6DA65C96" w14:textId="77777777" w:rsidR="00954ADA" w:rsidRPr="0090082A" w:rsidRDefault="00954ADA" w:rsidP="00954ADA">
      <w:pPr>
        <w:pStyle w:val="Tytu"/>
        <w:spacing w:after="120"/>
        <w:rPr>
          <w:rFonts w:ascii="Arial" w:hAnsi="Arial"/>
          <w:sz w:val="22"/>
          <w:szCs w:val="22"/>
        </w:rPr>
      </w:pPr>
    </w:p>
    <w:p w14:paraId="34D82F10" w14:textId="54C98D60" w:rsidR="00A47230" w:rsidRPr="003B38C2" w:rsidRDefault="00954ADA" w:rsidP="00A47230">
      <w:pPr>
        <w:pStyle w:val="Tytu"/>
        <w:spacing w:after="120"/>
        <w:rPr>
          <w:rFonts w:ascii="Arial" w:hAnsi="Arial"/>
          <w:sz w:val="22"/>
          <w:szCs w:val="22"/>
        </w:rPr>
      </w:pPr>
      <w:r w:rsidRPr="00622741">
        <w:rPr>
          <w:rFonts w:ascii="Arial" w:hAnsi="Arial"/>
          <w:sz w:val="28"/>
          <w:szCs w:val="28"/>
        </w:rPr>
        <w:t>Opis przedmiotu zamówienia</w:t>
      </w:r>
      <w:r w:rsidR="00EE6504">
        <w:rPr>
          <w:rFonts w:ascii="Arial" w:hAnsi="Arial"/>
          <w:sz w:val="28"/>
          <w:szCs w:val="28"/>
        </w:rPr>
        <w:t>:</w:t>
      </w:r>
    </w:p>
    <w:p w14:paraId="3CCB7598" w14:textId="77777777" w:rsidR="003B38C2" w:rsidRPr="003B38C2" w:rsidRDefault="003B38C2" w:rsidP="003B38C2">
      <w:pPr>
        <w:rPr>
          <w:rFonts w:ascii="Arial" w:eastAsiaTheme="minorHAnsi" w:hAnsi="Arial" w:cs="Arial"/>
          <w:bCs/>
          <w:kern w:val="2"/>
          <w:sz w:val="22"/>
          <w:szCs w:val="22"/>
          <w:lang w:eastAsia="en-US"/>
          <w14:ligatures w14:val="standardContextual"/>
        </w:rPr>
      </w:pPr>
    </w:p>
    <w:p w14:paraId="47FCE859" w14:textId="77777777" w:rsidR="00EE6504" w:rsidRPr="00930C80" w:rsidRDefault="00EE6504" w:rsidP="00EE6504"/>
    <w:p w14:paraId="4C6A6D02" w14:textId="77777777" w:rsidR="00EE6504" w:rsidRPr="00930C80" w:rsidRDefault="00EE6504" w:rsidP="00EE6504">
      <w:pPr>
        <w:pStyle w:val="Bezodstpw"/>
        <w:jc w:val="right"/>
        <w:rPr>
          <w:rFonts w:ascii="Times New Roman" w:hAnsi="Times New Roman" w:cs="Times New Roman"/>
        </w:rPr>
      </w:pPr>
      <w:r>
        <w:rPr>
          <w:rFonts w:ascii="Times New Roman" w:hAnsi="Times New Roman" w:cs="Times New Roman"/>
        </w:rPr>
        <w:t xml:space="preserve"> </w:t>
      </w:r>
    </w:p>
    <w:p w14:paraId="29E4B4ED" w14:textId="77777777" w:rsidR="00EE6504" w:rsidRPr="00930C80" w:rsidRDefault="00EE6504" w:rsidP="00EE6504">
      <w:pPr>
        <w:pStyle w:val="Bezodstpw"/>
        <w:jc w:val="right"/>
        <w:rPr>
          <w:rFonts w:ascii="Times New Roman" w:hAnsi="Times New Roman" w:cs="Times New Roman"/>
        </w:rPr>
      </w:pPr>
    </w:p>
    <w:sdt>
      <w:sdtPr>
        <w:rPr>
          <w:rFonts w:ascii="Arial" w:eastAsia="SimSun" w:hAnsi="Arial" w:cs="Arial"/>
          <w:b w:val="0"/>
          <w:sz w:val="22"/>
          <w:szCs w:val="22"/>
          <w:lang w:eastAsia="en-US"/>
        </w:rPr>
        <w:id w:val="-53076559"/>
        <w:docPartObj>
          <w:docPartGallery w:val="Table of Contents"/>
          <w:docPartUnique/>
        </w:docPartObj>
      </w:sdtPr>
      <w:sdtEndPr>
        <w:rPr>
          <w:rFonts w:eastAsia="Times New Roman"/>
          <w:bCs/>
          <w:lang w:eastAsia="pl-PL"/>
        </w:rPr>
      </w:sdtEndPr>
      <w:sdtContent>
        <w:p w14:paraId="0041BBA4" w14:textId="77777777" w:rsidR="00EE6504" w:rsidRPr="00EE6504" w:rsidRDefault="00EE6504" w:rsidP="00EE6504">
          <w:pPr>
            <w:pStyle w:val="Nagwekspisutreci"/>
            <w:rPr>
              <w:rFonts w:ascii="Arial" w:hAnsi="Arial" w:cs="Arial"/>
              <w:sz w:val="22"/>
              <w:szCs w:val="22"/>
            </w:rPr>
          </w:pPr>
          <w:r w:rsidRPr="00EE6504">
            <w:rPr>
              <w:rFonts w:ascii="Arial" w:hAnsi="Arial" w:cs="Arial"/>
              <w:sz w:val="22"/>
              <w:szCs w:val="22"/>
            </w:rPr>
            <w:t>Spis treści</w:t>
          </w:r>
        </w:p>
        <w:p w14:paraId="74C82F15" w14:textId="77777777" w:rsidR="00EE6504" w:rsidRPr="00EE6504" w:rsidRDefault="00EE6504" w:rsidP="00EE6504">
          <w:pPr>
            <w:pStyle w:val="Spistreci1"/>
            <w:tabs>
              <w:tab w:val="left" w:pos="440"/>
              <w:tab w:val="right" w:leader="dot" w:pos="9062"/>
            </w:tabs>
            <w:rPr>
              <w:rFonts w:ascii="Arial" w:eastAsiaTheme="minorEastAsia" w:hAnsi="Arial" w:cs="Arial"/>
              <w:noProof/>
              <w:kern w:val="2"/>
              <w:lang w:eastAsia="pl-PL"/>
              <w14:ligatures w14:val="standardContextual"/>
            </w:rPr>
          </w:pPr>
          <w:r w:rsidRPr="00EE6504">
            <w:rPr>
              <w:rFonts w:ascii="Arial" w:hAnsi="Arial" w:cs="Arial"/>
            </w:rPr>
            <w:fldChar w:fldCharType="begin"/>
          </w:r>
          <w:r w:rsidRPr="00EE6504">
            <w:rPr>
              <w:rFonts w:ascii="Arial" w:hAnsi="Arial" w:cs="Arial"/>
            </w:rPr>
            <w:instrText xml:space="preserve"> TOC \o "1-3" \h \z \u </w:instrText>
          </w:r>
          <w:r w:rsidRPr="00EE6504">
            <w:rPr>
              <w:rFonts w:ascii="Arial" w:hAnsi="Arial" w:cs="Arial"/>
            </w:rPr>
            <w:fldChar w:fldCharType="separate"/>
          </w:r>
          <w:hyperlink w:anchor="_Toc231883652" w:history="1">
            <w:r w:rsidRPr="00EE6504">
              <w:rPr>
                <w:rStyle w:val="Hipercze"/>
                <w:rFonts w:ascii="Arial" w:hAnsi="Arial" w:cs="Arial"/>
                <w:noProof/>
              </w:rPr>
              <w:t>1.</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Opis ogólny</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_Toc231883652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2</w:t>
            </w:r>
            <w:r w:rsidRPr="00EE6504">
              <w:rPr>
                <w:rFonts w:ascii="Arial" w:hAnsi="Arial" w:cs="Arial"/>
                <w:noProof/>
                <w:webHidden/>
              </w:rPr>
              <w:fldChar w:fldCharType="end"/>
            </w:r>
          </w:hyperlink>
        </w:p>
        <w:p w14:paraId="3EC334C9"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53" w:history="1">
            <w:r w:rsidRPr="00EE6504">
              <w:rPr>
                <w:rStyle w:val="Hipercze"/>
                <w:rFonts w:ascii="Arial" w:hAnsi="Arial" w:cs="Arial"/>
                <w:noProof/>
              </w:rPr>
              <w:t>1.1.</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Opis przedmiotu zamówienia</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_Toc231883653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2</w:t>
            </w:r>
            <w:r w:rsidRPr="00EE6504">
              <w:rPr>
                <w:rFonts w:ascii="Arial" w:hAnsi="Arial" w:cs="Arial"/>
                <w:noProof/>
                <w:webHidden/>
              </w:rPr>
              <w:fldChar w:fldCharType="end"/>
            </w:r>
          </w:hyperlink>
        </w:p>
        <w:p w14:paraId="61CCEA7E"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54" w:history="1">
            <w:r w:rsidRPr="00EE6504">
              <w:rPr>
                <w:rStyle w:val="Hipercze"/>
                <w:rFonts w:ascii="Arial" w:hAnsi="Arial" w:cs="Arial"/>
                <w:noProof/>
              </w:rPr>
              <w:t>1.2.</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Zakres</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_Toc231883654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2</w:t>
            </w:r>
            <w:r w:rsidRPr="00EE6504">
              <w:rPr>
                <w:rFonts w:ascii="Arial" w:hAnsi="Arial" w:cs="Arial"/>
                <w:noProof/>
                <w:webHidden/>
              </w:rPr>
              <w:fldChar w:fldCharType="end"/>
            </w:r>
          </w:hyperlink>
        </w:p>
        <w:p w14:paraId="0D4CDE0F"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55" w:history="1">
            <w:r w:rsidRPr="00EE6504">
              <w:rPr>
                <w:rStyle w:val="Hipercze"/>
                <w:rFonts w:ascii="Arial" w:hAnsi="Arial" w:cs="Arial"/>
                <w:noProof/>
              </w:rPr>
              <w:t>1.3.</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Stan istniejący</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_Toc231883655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3</w:t>
            </w:r>
            <w:r w:rsidRPr="00EE6504">
              <w:rPr>
                <w:rFonts w:ascii="Arial" w:hAnsi="Arial" w:cs="Arial"/>
                <w:noProof/>
                <w:webHidden/>
              </w:rPr>
              <w:fldChar w:fldCharType="end"/>
            </w:r>
          </w:hyperlink>
        </w:p>
        <w:p w14:paraId="58EFA9B5"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56" w:history="1">
            <w:r w:rsidRPr="00EE6504">
              <w:rPr>
                <w:rStyle w:val="Hipercze"/>
                <w:rFonts w:ascii="Arial" w:hAnsi="Arial" w:cs="Arial"/>
                <w:noProof/>
              </w:rPr>
              <w:t>1.4.</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Wymagania ogólne</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_Toc231883656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3</w:t>
            </w:r>
            <w:r w:rsidRPr="00EE6504">
              <w:rPr>
                <w:rFonts w:ascii="Arial" w:hAnsi="Arial" w:cs="Arial"/>
                <w:noProof/>
                <w:webHidden/>
              </w:rPr>
              <w:fldChar w:fldCharType="end"/>
            </w:r>
          </w:hyperlink>
        </w:p>
        <w:p w14:paraId="7D4E70CC" w14:textId="77777777" w:rsidR="00EE6504" w:rsidRPr="00EE6504" w:rsidRDefault="00EE6504" w:rsidP="00EE6504">
          <w:pPr>
            <w:pStyle w:val="Spistreci2"/>
            <w:tabs>
              <w:tab w:val="right" w:leader="dot" w:pos="9062"/>
            </w:tabs>
            <w:rPr>
              <w:rFonts w:ascii="Arial" w:eastAsiaTheme="minorEastAsia" w:hAnsi="Arial" w:cs="Arial"/>
              <w:noProof/>
              <w:kern w:val="2"/>
              <w:lang w:eastAsia="pl-PL"/>
              <w14:ligatures w14:val="standardContextual"/>
            </w:rPr>
          </w:pPr>
          <w:hyperlink w:anchor="_Toc231883657" w:history="1">
            <w:r w:rsidRPr="00EE6504">
              <w:rPr>
                <w:rStyle w:val="Hipercze"/>
                <w:rFonts w:ascii="Arial" w:hAnsi="Arial" w:cs="Arial"/>
                <w:noProof/>
              </w:rPr>
              <w:t>1.5. Termin realizacji</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_Toc231883657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4</w:t>
            </w:r>
            <w:r w:rsidRPr="00EE6504">
              <w:rPr>
                <w:rFonts w:ascii="Arial" w:hAnsi="Arial" w:cs="Arial"/>
                <w:noProof/>
                <w:webHidden/>
              </w:rPr>
              <w:fldChar w:fldCharType="end"/>
            </w:r>
          </w:hyperlink>
        </w:p>
        <w:p w14:paraId="454A3F77" w14:textId="77777777" w:rsidR="00EE6504" w:rsidRPr="00EE6504" w:rsidRDefault="00EE6504" w:rsidP="00EE6504">
          <w:pPr>
            <w:pStyle w:val="Spistreci2"/>
            <w:tabs>
              <w:tab w:val="right" w:leader="dot" w:pos="9062"/>
            </w:tabs>
            <w:rPr>
              <w:rFonts w:ascii="Arial" w:eastAsiaTheme="minorEastAsia" w:hAnsi="Arial" w:cs="Arial"/>
              <w:noProof/>
              <w:kern w:val="2"/>
              <w:lang w:eastAsia="pl-PL"/>
              <w14:ligatures w14:val="standardContextual"/>
            </w:rPr>
          </w:pPr>
          <w:hyperlink w:anchor="_Toc231883658" w:history="1">
            <w:r w:rsidRPr="00EE6504">
              <w:rPr>
                <w:rStyle w:val="Hipercze"/>
                <w:rFonts w:ascii="Arial" w:hAnsi="Arial" w:cs="Arial"/>
                <w:noProof/>
              </w:rPr>
              <w:t>1.6. Gwarancja i wsparcie powdrożeniowe</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_Toc231883658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5</w:t>
            </w:r>
            <w:r w:rsidRPr="00EE6504">
              <w:rPr>
                <w:rFonts w:ascii="Arial" w:hAnsi="Arial" w:cs="Arial"/>
                <w:noProof/>
                <w:webHidden/>
              </w:rPr>
              <w:fldChar w:fldCharType="end"/>
            </w:r>
          </w:hyperlink>
        </w:p>
        <w:p w14:paraId="4C718DB9" w14:textId="77777777" w:rsidR="00EE6504" w:rsidRPr="00EE6504" w:rsidRDefault="00EE6504" w:rsidP="00EE6504">
          <w:pPr>
            <w:pStyle w:val="Spistreci1"/>
            <w:tabs>
              <w:tab w:val="left" w:pos="440"/>
              <w:tab w:val="right" w:leader="dot" w:pos="9062"/>
            </w:tabs>
            <w:rPr>
              <w:rFonts w:ascii="Arial" w:eastAsiaTheme="minorEastAsia" w:hAnsi="Arial" w:cs="Arial"/>
              <w:noProof/>
              <w:kern w:val="2"/>
              <w:lang w:eastAsia="pl-PL"/>
              <w14:ligatures w14:val="standardContextual"/>
            </w:rPr>
          </w:pPr>
          <w:hyperlink w:anchor="_Toc231883659" w:history="1">
            <w:r w:rsidRPr="00EE6504">
              <w:rPr>
                <w:rStyle w:val="Hipercze"/>
                <w:rFonts w:ascii="Arial" w:hAnsi="Arial" w:cs="Arial"/>
                <w:noProof/>
              </w:rPr>
              <w:t>2.</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Wymagania techniczne</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_Toc231883659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5</w:t>
            </w:r>
            <w:r w:rsidRPr="00EE6504">
              <w:rPr>
                <w:rFonts w:ascii="Arial" w:hAnsi="Arial" w:cs="Arial"/>
                <w:noProof/>
                <w:webHidden/>
              </w:rPr>
              <w:fldChar w:fldCharType="end"/>
            </w:r>
          </w:hyperlink>
        </w:p>
        <w:p w14:paraId="3B56D5B6"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62" w:history="1">
            <w:r w:rsidRPr="00EE6504">
              <w:rPr>
                <w:rStyle w:val="Hipercze"/>
                <w:rFonts w:ascii="Arial" w:hAnsi="Arial" w:cs="Arial"/>
                <w:noProof/>
              </w:rPr>
              <w:t>2.1.</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Materiał dostarczany przez Zamawiającego</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_Toc231883662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5</w:t>
            </w:r>
            <w:r w:rsidRPr="00EE6504">
              <w:rPr>
                <w:rFonts w:ascii="Arial" w:hAnsi="Arial" w:cs="Arial"/>
                <w:noProof/>
                <w:webHidden/>
              </w:rPr>
              <w:fldChar w:fldCharType="end"/>
            </w:r>
          </w:hyperlink>
        </w:p>
        <w:p w14:paraId="0D51895A"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63" w:history="1">
            <w:r w:rsidRPr="00EE6504">
              <w:rPr>
                <w:rStyle w:val="Hipercze"/>
                <w:rFonts w:ascii="Arial" w:hAnsi="Arial" w:cs="Arial"/>
                <w:noProof/>
              </w:rPr>
              <w:t>2.2.</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Wymagania dotyczące migracji oprogramowania</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_Toc231883663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6</w:t>
            </w:r>
            <w:r w:rsidRPr="00EE6504">
              <w:rPr>
                <w:rFonts w:ascii="Arial" w:hAnsi="Arial" w:cs="Arial"/>
                <w:noProof/>
                <w:webHidden/>
              </w:rPr>
              <w:fldChar w:fldCharType="end"/>
            </w:r>
          </w:hyperlink>
        </w:p>
        <w:p w14:paraId="0C0EFA32" w14:textId="77777777" w:rsidR="00EE6504" w:rsidRPr="00EE6504" w:rsidRDefault="00EE6504" w:rsidP="00EE6504">
          <w:pPr>
            <w:pStyle w:val="Spistreci3"/>
            <w:tabs>
              <w:tab w:val="left" w:pos="1200"/>
              <w:tab w:val="right" w:leader="dot" w:pos="9062"/>
            </w:tabs>
            <w:rPr>
              <w:rFonts w:ascii="Arial" w:eastAsiaTheme="minorEastAsia" w:hAnsi="Arial" w:cs="Arial"/>
              <w:noProof/>
              <w:kern w:val="2"/>
              <w:lang w:eastAsia="pl-PL"/>
              <w14:ligatures w14:val="standardContextual"/>
            </w:rPr>
          </w:pPr>
          <w:hyperlink w:anchor="_Toc231883664" w:history="1">
            <w:r w:rsidRPr="00EE6504">
              <w:rPr>
                <w:rStyle w:val="Hipercze"/>
                <w:rFonts w:ascii="Arial" w:hAnsi="Arial" w:cs="Arial"/>
                <w:noProof/>
              </w:rPr>
              <w:t>2.2.1.</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Inwentaryzacja</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_Toc231883664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6</w:t>
            </w:r>
            <w:r w:rsidRPr="00EE6504">
              <w:rPr>
                <w:rFonts w:ascii="Arial" w:hAnsi="Arial" w:cs="Arial"/>
                <w:noProof/>
                <w:webHidden/>
              </w:rPr>
              <w:fldChar w:fldCharType="end"/>
            </w:r>
          </w:hyperlink>
        </w:p>
        <w:p w14:paraId="35A101FE" w14:textId="77777777" w:rsidR="00EE6504" w:rsidRPr="00EE6504" w:rsidRDefault="00EE6504" w:rsidP="00EE6504">
          <w:pPr>
            <w:pStyle w:val="Spistreci3"/>
            <w:tabs>
              <w:tab w:val="left" w:pos="1200"/>
              <w:tab w:val="right" w:leader="dot" w:pos="9062"/>
            </w:tabs>
            <w:rPr>
              <w:rFonts w:ascii="Arial" w:eastAsiaTheme="minorEastAsia" w:hAnsi="Arial" w:cs="Arial"/>
              <w:noProof/>
              <w:kern w:val="2"/>
              <w:lang w:eastAsia="pl-PL"/>
              <w14:ligatures w14:val="standardContextual"/>
            </w:rPr>
          </w:pPr>
          <w:hyperlink w:anchor="_Toc231883665" w:history="1">
            <w:r w:rsidRPr="00EE6504">
              <w:rPr>
                <w:rStyle w:val="Hipercze"/>
                <w:rFonts w:ascii="Arial" w:hAnsi="Arial" w:cs="Arial"/>
                <w:noProof/>
              </w:rPr>
              <w:t>2.2.2.</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Oprogramowanie</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_Toc231883665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7</w:t>
            </w:r>
            <w:r w:rsidRPr="00EE6504">
              <w:rPr>
                <w:rFonts w:ascii="Arial" w:hAnsi="Arial" w:cs="Arial"/>
                <w:noProof/>
                <w:webHidden/>
              </w:rPr>
              <w:fldChar w:fldCharType="end"/>
            </w:r>
          </w:hyperlink>
        </w:p>
        <w:p w14:paraId="7CD63F17"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66" w:history="1">
            <w:r w:rsidRPr="00EE6504">
              <w:rPr>
                <w:rStyle w:val="Hipercze"/>
                <w:rFonts w:ascii="Arial" w:hAnsi="Arial" w:cs="Arial"/>
                <w:noProof/>
              </w:rPr>
              <w:t>2.3.</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Migracja funkcjonalna</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_Toc231883666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9</w:t>
            </w:r>
            <w:r w:rsidRPr="00EE6504">
              <w:rPr>
                <w:rFonts w:ascii="Arial" w:hAnsi="Arial" w:cs="Arial"/>
                <w:noProof/>
                <w:webHidden/>
              </w:rPr>
              <w:fldChar w:fldCharType="end"/>
            </w:r>
          </w:hyperlink>
        </w:p>
        <w:p w14:paraId="423F630C"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67" w:history="1">
            <w:r w:rsidRPr="00EE6504">
              <w:rPr>
                <w:rStyle w:val="Hipercze"/>
                <w:rFonts w:ascii="Arial" w:hAnsi="Arial" w:cs="Arial"/>
                <w:noProof/>
              </w:rPr>
              <w:t>2.4.</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Wymagania w zakresie dodania pomiaru energii elektrycznej</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_Toc231883667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10</w:t>
            </w:r>
            <w:r w:rsidRPr="00EE6504">
              <w:rPr>
                <w:rFonts w:ascii="Arial" w:hAnsi="Arial" w:cs="Arial"/>
                <w:noProof/>
                <w:webHidden/>
              </w:rPr>
              <w:fldChar w:fldCharType="end"/>
            </w:r>
          </w:hyperlink>
        </w:p>
        <w:p w14:paraId="14C7896C"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68" w:history="1">
            <w:r w:rsidRPr="00EE6504">
              <w:rPr>
                <w:rStyle w:val="Hipercze"/>
                <w:rFonts w:ascii="Arial" w:hAnsi="Arial" w:cs="Arial"/>
                <w:noProof/>
              </w:rPr>
              <w:t>2.5.</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Wymagania funkcjonalne</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_Toc231883668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10</w:t>
            </w:r>
            <w:r w:rsidRPr="00EE6504">
              <w:rPr>
                <w:rFonts w:ascii="Arial" w:hAnsi="Arial" w:cs="Arial"/>
                <w:noProof/>
                <w:webHidden/>
              </w:rPr>
              <w:fldChar w:fldCharType="end"/>
            </w:r>
          </w:hyperlink>
        </w:p>
        <w:p w14:paraId="45EFA157"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69" w:history="1">
            <w:r w:rsidRPr="00EE6504">
              <w:rPr>
                <w:rStyle w:val="Hipercze"/>
                <w:rFonts w:ascii="Arial" w:hAnsi="Arial" w:cs="Arial"/>
                <w:noProof/>
              </w:rPr>
              <w:t>2.6.</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Komunikacja</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_Toc231883669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11</w:t>
            </w:r>
            <w:r w:rsidRPr="00EE6504">
              <w:rPr>
                <w:rFonts w:ascii="Arial" w:hAnsi="Arial" w:cs="Arial"/>
                <w:noProof/>
                <w:webHidden/>
              </w:rPr>
              <w:fldChar w:fldCharType="end"/>
            </w:r>
          </w:hyperlink>
        </w:p>
        <w:p w14:paraId="150D6DC9"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70" w:history="1">
            <w:r w:rsidRPr="00EE6504">
              <w:rPr>
                <w:rStyle w:val="Hipercze"/>
                <w:rFonts w:ascii="Arial" w:hAnsi="Arial" w:cs="Arial"/>
                <w:noProof/>
              </w:rPr>
              <w:t>2.7.</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Przygotowanie możliwości rozbudowy.</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_Toc231883670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11</w:t>
            </w:r>
            <w:r w:rsidRPr="00EE6504">
              <w:rPr>
                <w:rFonts w:ascii="Arial" w:hAnsi="Arial" w:cs="Arial"/>
                <w:noProof/>
                <w:webHidden/>
              </w:rPr>
              <w:fldChar w:fldCharType="end"/>
            </w:r>
          </w:hyperlink>
        </w:p>
        <w:p w14:paraId="3F397011" w14:textId="77777777" w:rsidR="00EE6504" w:rsidRPr="00EE6504" w:rsidRDefault="00EE6504" w:rsidP="00EE6504">
          <w:pPr>
            <w:pStyle w:val="Spistreci2"/>
            <w:tabs>
              <w:tab w:val="left" w:pos="960"/>
              <w:tab w:val="right" w:leader="dot" w:pos="9062"/>
            </w:tabs>
            <w:rPr>
              <w:rFonts w:ascii="Arial" w:eastAsiaTheme="minorEastAsia" w:hAnsi="Arial" w:cs="Arial"/>
              <w:noProof/>
              <w:kern w:val="2"/>
              <w:lang w:eastAsia="pl-PL"/>
              <w14:ligatures w14:val="standardContextual"/>
            </w:rPr>
          </w:pPr>
          <w:hyperlink w:anchor="_Toc231883671" w:history="1">
            <w:r w:rsidRPr="00EE6504">
              <w:rPr>
                <w:rStyle w:val="Hipercze"/>
                <w:rFonts w:ascii="Arial" w:hAnsi="Arial" w:cs="Arial"/>
                <w:noProof/>
              </w:rPr>
              <w:t>2.8.</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Testy i odbiory</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_Toc231883671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11</w:t>
            </w:r>
            <w:r w:rsidRPr="00EE6504">
              <w:rPr>
                <w:rFonts w:ascii="Arial" w:hAnsi="Arial" w:cs="Arial"/>
                <w:noProof/>
                <w:webHidden/>
              </w:rPr>
              <w:fldChar w:fldCharType="end"/>
            </w:r>
          </w:hyperlink>
        </w:p>
        <w:p w14:paraId="198D10EC" w14:textId="77777777" w:rsidR="00EE6504" w:rsidRPr="00EE6504" w:rsidRDefault="00EE6504" w:rsidP="00EE6504">
          <w:pPr>
            <w:pStyle w:val="Spistreci1"/>
            <w:tabs>
              <w:tab w:val="left" w:pos="440"/>
              <w:tab w:val="right" w:leader="dot" w:pos="9062"/>
            </w:tabs>
            <w:rPr>
              <w:rFonts w:ascii="Arial" w:eastAsiaTheme="minorEastAsia" w:hAnsi="Arial" w:cs="Arial"/>
              <w:noProof/>
              <w:kern w:val="2"/>
              <w:lang w:eastAsia="pl-PL"/>
              <w14:ligatures w14:val="standardContextual"/>
            </w:rPr>
          </w:pPr>
          <w:hyperlink w:anchor="_Toc231883672" w:history="1">
            <w:r w:rsidRPr="00EE6504">
              <w:rPr>
                <w:rStyle w:val="Hipercze"/>
                <w:rFonts w:ascii="Arial" w:hAnsi="Arial" w:cs="Arial"/>
                <w:noProof/>
              </w:rPr>
              <w:t>3.</w:t>
            </w:r>
            <w:r w:rsidRPr="00EE6504">
              <w:rPr>
                <w:rFonts w:ascii="Arial" w:eastAsiaTheme="minorEastAsia" w:hAnsi="Arial" w:cs="Arial"/>
                <w:noProof/>
                <w:kern w:val="2"/>
                <w:lang w:eastAsia="pl-PL"/>
                <w14:ligatures w14:val="standardContextual"/>
              </w:rPr>
              <w:tab/>
            </w:r>
            <w:r w:rsidRPr="00EE6504">
              <w:rPr>
                <w:rStyle w:val="Hipercze"/>
                <w:rFonts w:ascii="Arial" w:hAnsi="Arial" w:cs="Arial"/>
                <w:noProof/>
              </w:rPr>
              <w:t>Dokumenty odbiorowe</w:t>
            </w:r>
            <w:r w:rsidRPr="00EE6504">
              <w:rPr>
                <w:rFonts w:ascii="Arial" w:hAnsi="Arial" w:cs="Arial"/>
                <w:noProof/>
                <w:webHidden/>
              </w:rPr>
              <w:tab/>
            </w:r>
            <w:r w:rsidRPr="00EE6504">
              <w:rPr>
                <w:rFonts w:ascii="Arial" w:hAnsi="Arial" w:cs="Arial"/>
                <w:noProof/>
                <w:webHidden/>
              </w:rPr>
              <w:fldChar w:fldCharType="begin"/>
            </w:r>
            <w:r w:rsidRPr="00EE6504">
              <w:rPr>
                <w:rFonts w:ascii="Arial" w:hAnsi="Arial" w:cs="Arial"/>
                <w:noProof/>
                <w:webHidden/>
              </w:rPr>
              <w:instrText xml:space="preserve"> PAGEREF _Toc231883672 \h </w:instrText>
            </w:r>
            <w:r w:rsidRPr="00EE6504">
              <w:rPr>
                <w:rFonts w:ascii="Arial" w:hAnsi="Arial" w:cs="Arial"/>
                <w:noProof/>
                <w:webHidden/>
              </w:rPr>
            </w:r>
            <w:r w:rsidRPr="00EE6504">
              <w:rPr>
                <w:rFonts w:ascii="Arial" w:hAnsi="Arial" w:cs="Arial"/>
                <w:noProof/>
                <w:webHidden/>
              </w:rPr>
              <w:fldChar w:fldCharType="separate"/>
            </w:r>
            <w:r w:rsidRPr="00EE6504">
              <w:rPr>
                <w:rFonts w:ascii="Arial" w:hAnsi="Arial" w:cs="Arial"/>
                <w:noProof/>
                <w:webHidden/>
              </w:rPr>
              <w:t>12</w:t>
            </w:r>
            <w:r w:rsidRPr="00EE6504">
              <w:rPr>
                <w:rFonts w:ascii="Arial" w:hAnsi="Arial" w:cs="Arial"/>
                <w:noProof/>
                <w:webHidden/>
              </w:rPr>
              <w:fldChar w:fldCharType="end"/>
            </w:r>
          </w:hyperlink>
        </w:p>
        <w:p w14:paraId="53CEF1EB" w14:textId="77777777" w:rsidR="00EE6504" w:rsidRPr="00EE6504" w:rsidRDefault="00EE6504" w:rsidP="00EE6504">
          <w:pPr>
            <w:rPr>
              <w:rFonts w:ascii="Arial" w:hAnsi="Arial" w:cs="Arial"/>
              <w:sz w:val="22"/>
              <w:szCs w:val="22"/>
            </w:rPr>
          </w:pPr>
          <w:r w:rsidRPr="00EE6504">
            <w:rPr>
              <w:rFonts w:ascii="Arial" w:hAnsi="Arial" w:cs="Arial"/>
              <w:b/>
              <w:bCs/>
              <w:sz w:val="22"/>
              <w:szCs w:val="22"/>
            </w:rPr>
            <w:fldChar w:fldCharType="end"/>
          </w:r>
        </w:p>
      </w:sdtContent>
    </w:sdt>
    <w:p w14:paraId="4523A973" w14:textId="77777777" w:rsidR="00EE6504" w:rsidRPr="00930C80" w:rsidRDefault="00EE6504" w:rsidP="00EE6504">
      <w:pPr>
        <w:rPr>
          <w:b/>
          <w:bCs/>
          <w:sz w:val="28"/>
          <w:szCs w:val="28"/>
        </w:rPr>
      </w:pPr>
    </w:p>
    <w:p w14:paraId="04287BE5" w14:textId="77777777" w:rsidR="00EE6504" w:rsidRPr="00EE6504" w:rsidRDefault="00EE6504" w:rsidP="00EE6504">
      <w:pPr>
        <w:pStyle w:val="Nagwek1"/>
        <w:numPr>
          <w:ilvl w:val="0"/>
          <w:numId w:val="9"/>
        </w:numPr>
        <w:spacing w:after="120" w:line="240" w:lineRule="auto"/>
        <w:jc w:val="both"/>
        <w:rPr>
          <w:rStyle w:val="Pogrubienie"/>
          <w:rFonts w:ascii="Arial" w:hAnsi="Arial" w:cs="Arial"/>
          <w:b w:val="0"/>
          <w:bCs w:val="0"/>
          <w:sz w:val="22"/>
          <w:szCs w:val="22"/>
        </w:rPr>
      </w:pPr>
      <w:r>
        <w:rPr>
          <w:rFonts w:ascii="Times New Roman" w:hAnsi="Times New Roman" w:cs="Times New Roman"/>
          <w:szCs w:val="28"/>
        </w:rPr>
        <w:br w:type="page"/>
      </w:r>
      <w:bookmarkStart w:id="1" w:name="_Toc231883652"/>
      <w:r w:rsidRPr="00EE6504">
        <w:rPr>
          <w:rStyle w:val="Pogrubienie"/>
          <w:rFonts w:ascii="Arial" w:hAnsi="Arial" w:cs="Arial"/>
          <w:bCs w:val="0"/>
          <w:sz w:val="22"/>
          <w:szCs w:val="22"/>
        </w:rPr>
        <w:lastRenderedPageBreak/>
        <w:t>Opis ogólny</w:t>
      </w:r>
      <w:bookmarkEnd w:id="1"/>
    </w:p>
    <w:p w14:paraId="2025AEE0" w14:textId="77777777" w:rsidR="00EE6504" w:rsidRPr="00EE6504" w:rsidRDefault="00EE6504" w:rsidP="00EE6504">
      <w:pPr>
        <w:pStyle w:val="Nagwek2"/>
        <w:numPr>
          <w:ilvl w:val="1"/>
          <w:numId w:val="9"/>
        </w:numPr>
        <w:spacing w:before="360" w:after="120" w:line="240" w:lineRule="auto"/>
        <w:jc w:val="both"/>
        <w:rPr>
          <w:rFonts w:ascii="Arial" w:hAnsi="Arial" w:cs="Arial"/>
          <w:sz w:val="22"/>
          <w:szCs w:val="22"/>
        </w:rPr>
      </w:pPr>
      <w:bookmarkStart w:id="2" w:name="_Toc231883653"/>
      <w:r w:rsidRPr="00EE6504">
        <w:rPr>
          <w:rFonts w:ascii="Arial" w:hAnsi="Arial" w:cs="Arial"/>
          <w:sz w:val="22"/>
          <w:szCs w:val="22"/>
        </w:rPr>
        <w:t>Opis przedmiotu zamówienia</w:t>
      </w:r>
      <w:bookmarkEnd w:id="2"/>
    </w:p>
    <w:p w14:paraId="60B28111" w14:textId="77777777" w:rsidR="00EE6504" w:rsidRPr="00EE6504" w:rsidRDefault="00EE6504" w:rsidP="00EE6504">
      <w:pPr>
        <w:rPr>
          <w:rFonts w:ascii="Arial" w:hAnsi="Arial" w:cs="Arial"/>
          <w:sz w:val="22"/>
          <w:szCs w:val="22"/>
        </w:rPr>
      </w:pPr>
      <w:r w:rsidRPr="00EE6504">
        <w:rPr>
          <w:rFonts w:ascii="Arial" w:hAnsi="Arial" w:cs="Arial"/>
          <w:sz w:val="22"/>
          <w:szCs w:val="22"/>
        </w:rPr>
        <w:t>Przedmiotem zamówienia jest migracja systemu sterowania przepompownią ścieków PK-1 do dostarczonego przez Zamawiającego sterownika SIMATIC S7-1500 / CPU 1513-1 PN.</w:t>
      </w:r>
    </w:p>
    <w:p w14:paraId="3B0E6422" w14:textId="77777777" w:rsidR="00EE6504" w:rsidRPr="00EE6504" w:rsidRDefault="00EE6504" w:rsidP="00EE6504">
      <w:pPr>
        <w:rPr>
          <w:rFonts w:ascii="Arial" w:hAnsi="Arial" w:cs="Arial"/>
          <w:sz w:val="22"/>
          <w:szCs w:val="22"/>
        </w:rPr>
      </w:pPr>
      <w:r w:rsidRPr="00EE6504">
        <w:rPr>
          <w:rFonts w:ascii="Arial" w:hAnsi="Arial" w:cs="Arial"/>
          <w:sz w:val="22"/>
          <w:szCs w:val="22"/>
        </w:rPr>
        <w:t>Zakres zamówienia obejmuje wykorzystanie posiadanych przez Zamawiającego urządzeń, dostarczenie urządzeń do pomiaru energii elektrycznej, ich instalację, podłączenie, konfigurację, wykonanie oprogramowania sterującego oraz jego uruchomienie z zachowaniem dotychczasowego reżimu pracy obiektu, w tym pełnej logiki technologicznej przepompowni i komunikacji z systemem SCADA Zamawiającego.</w:t>
      </w:r>
    </w:p>
    <w:p w14:paraId="322448F7" w14:textId="77777777" w:rsidR="00EE6504" w:rsidRPr="00EE6504" w:rsidRDefault="00EE6504" w:rsidP="00EE6504">
      <w:pPr>
        <w:rPr>
          <w:rFonts w:ascii="Arial" w:hAnsi="Arial" w:cs="Arial"/>
          <w:sz w:val="22"/>
          <w:szCs w:val="22"/>
        </w:rPr>
      </w:pPr>
      <w:r w:rsidRPr="00EE6504">
        <w:rPr>
          <w:rFonts w:ascii="Arial" w:hAnsi="Arial" w:cs="Arial"/>
          <w:sz w:val="22"/>
          <w:szCs w:val="22"/>
        </w:rPr>
        <w:t>Wymaga się zachowania identycznego sposobu działania systemu sterowania jak w stanie istniejącym (funkcjonalność 1:1), z możliwością rozszerzenia liczby przesyłanych do SCADA sygnałów.</w:t>
      </w:r>
    </w:p>
    <w:p w14:paraId="350FF2B0" w14:textId="77777777" w:rsidR="00EE6504" w:rsidRPr="00EE6504" w:rsidRDefault="00EE6504" w:rsidP="00EE6504">
      <w:pPr>
        <w:rPr>
          <w:rFonts w:ascii="Arial" w:hAnsi="Arial" w:cs="Arial"/>
          <w:sz w:val="22"/>
          <w:szCs w:val="22"/>
        </w:rPr>
      </w:pPr>
      <w:r w:rsidRPr="00EE6504">
        <w:rPr>
          <w:rFonts w:ascii="Arial" w:hAnsi="Arial" w:cs="Arial"/>
          <w:sz w:val="22"/>
          <w:szCs w:val="22"/>
        </w:rPr>
        <w:t>Kody CPV:</w:t>
      </w:r>
    </w:p>
    <w:p w14:paraId="3FDE244D" w14:textId="77777777" w:rsidR="00EE6504" w:rsidRPr="00EE6504" w:rsidRDefault="00EE6504" w:rsidP="00EE6504">
      <w:pPr>
        <w:numPr>
          <w:ilvl w:val="0"/>
          <w:numId w:val="25"/>
        </w:numPr>
        <w:jc w:val="both"/>
        <w:rPr>
          <w:rFonts w:ascii="Arial" w:hAnsi="Arial" w:cs="Arial"/>
          <w:sz w:val="22"/>
          <w:szCs w:val="22"/>
        </w:rPr>
      </w:pPr>
      <w:r w:rsidRPr="00EE6504">
        <w:rPr>
          <w:rFonts w:ascii="Arial" w:hAnsi="Arial" w:cs="Arial"/>
          <w:sz w:val="22"/>
          <w:szCs w:val="22"/>
        </w:rPr>
        <w:t>31700000-3 – Urządzenia elektroniczne, elektromechaniczne i elektrotechniczne,</w:t>
      </w:r>
    </w:p>
    <w:p w14:paraId="48237A0F" w14:textId="77777777" w:rsidR="00EE6504" w:rsidRPr="00EE6504" w:rsidRDefault="00EE6504" w:rsidP="00EE6504">
      <w:pPr>
        <w:numPr>
          <w:ilvl w:val="0"/>
          <w:numId w:val="25"/>
        </w:numPr>
        <w:jc w:val="both"/>
        <w:rPr>
          <w:rFonts w:ascii="Arial" w:hAnsi="Arial" w:cs="Arial"/>
          <w:sz w:val="22"/>
          <w:szCs w:val="22"/>
        </w:rPr>
      </w:pPr>
      <w:r w:rsidRPr="00EE6504">
        <w:rPr>
          <w:rFonts w:ascii="Arial" w:hAnsi="Arial" w:cs="Arial"/>
          <w:sz w:val="22"/>
          <w:szCs w:val="22"/>
        </w:rPr>
        <w:t>31600000-2 – Sprzęt i aparatura elektryczna,</w:t>
      </w:r>
    </w:p>
    <w:p w14:paraId="140E745C" w14:textId="77777777" w:rsidR="00EE6504" w:rsidRPr="00EE6504" w:rsidRDefault="00EE6504" w:rsidP="00EE6504">
      <w:pPr>
        <w:numPr>
          <w:ilvl w:val="0"/>
          <w:numId w:val="25"/>
        </w:numPr>
        <w:jc w:val="both"/>
        <w:rPr>
          <w:rFonts w:ascii="Arial" w:hAnsi="Arial" w:cs="Arial"/>
          <w:sz w:val="22"/>
          <w:szCs w:val="22"/>
        </w:rPr>
      </w:pPr>
      <w:r w:rsidRPr="00EE6504">
        <w:rPr>
          <w:rFonts w:ascii="Arial" w:hAnsi="Arial" w:cs="Arial"/>
          <w:sz w:val="22"/>
          <w:szCs w:val="22"/>
        </w:rPr>
        <w:t>48921000-0 – Systemy automatyzacji.</w:t>
      </w:r>
    </w:p>
    <w:p w14:paraId="099297E9" w14:textId="77777777" w:rsidR="00EE6504" w:rsidRPr="00EE6504" w:rsidRDefault="00EE6504" w:rsidP="00EE6504">
      <w:pPr>
        <w:pStyle w:val="Nagwek2"/>
        <w:numPr>
          <w:ilvl w:val="1"/>
          <w:numId w:val="9"/>
        </w:numPr>
        <w:spacing w:before="360" w:after="120" w:line="240" w:lineRule="auto"/>
        <w:jc w:val="both"/>
        <w:rPr>
          <w:rFonts w:ascii="Arial" w:hAnsi="Arial" w:cs="Arial"/>
          <w:sz w:val="22"/>
          <w:szCs w:val="22"/>
        </w:rPr>
      </w:pPr>
      <w:bookmarkStart w:id="3" w:name="_Toc231883654"/>
      <w:r w:rsidRPr="00EE6504">
        <w:rPr>
          <w:rFonts w:ascii="Arial" w:hAnsi="Arial" w:cs="Arial"/>
          <w:sz w:val="22"/>
          <w:szCs w:val="22"/>
        </w:rPr>
        <w:t>Zakres</w:t>
      </w:r>
      <w:bookmarkEnd w:id="3"/>
    </w:p>
    <w:p w14:paraId="57DA78BF" w14:textId="77777777" w:rsidR="00EE6504" w:rsidRPr="00EE6504" w:rsidRDefault="00EE6504" w:rsidP="00EE6504">
      <w:pPr>
        <w:rPr>
          <w:rFonts w:ascii="Arial" w:hAnsi="Arial" w:cs="Arial"/>
          <w:sz w:val="22"/>
          <w:szCs w:val="22"/>
        </w:rPr>
      </w:pPr>
      <w:r w:rsidRPr="00EE6504">
        <w:rPr>
          <w:rFonts w:ascii="Arial" w:hAnsi="Arial" w:cs="Arial"/>
          <w:sz w:val="22"/>
          <w:szCs w:val="22"/>
        </w:rPr>
        <w:t>Zakres prac obejmuje w szczególności:</w:t>
      </w:r>
    </w:p>
    <w:p w14:paraId="73570C94"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Analizę istniejącej logiki sterowania.</w:t>
      </w:r>
    </w:p>
    <w:p w14:paraId="6D8A77C2"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Inwentaryzację obiektu w zakresie automatyki.</w:t>
      </w:r>
    </w:p>
    <w:p w14:paraId="74214030"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Opracowanie szczegółowego opisu funkcjonalnego algorytmów (SOF).</w:t>
      </w:r>
    </w:p>
    <w:p w14:paraId="3AA8753D"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Weryfikację kompletności dostarczonego sprzętu.</w:t>
      </w:r>
    </w:p>
    <w:p w14:paraId="6BA66C1D"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Dostarczenie niezbędnych urządzeń do pomiaru energii elektrycznej (analizatora, przekładników, itd.).</w:t>
      </w:r>
    </w:p>
    <w:p w14:paraId="6A8E9542"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Pełne odwzorowanie istniejącego systemu sterowania na nowej platformie, zachowanie całej dotychczasowej funkcjonalności z uwzględnieniem zmian koniecznych dla dodania pomiaru energii elektrycznej.</w:t>
      </w:r>
    </w:p>
    <w:p w14:paraId="7B010793"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Zachowanie wszystkich trybów eksploatacyjnych.</w:t>
      </w:r>
    </w:p>
    <w:p w14:paraId="718C833E"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Demontaż starego sterownika PLC wraz z jego modułami, w tym panelu HMI.</w:t>
      </w:r>
    </w:p>
    <w:p w14:paraId="3693D0A5"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Montaż i zintegrowanie nowego sterownika PLC wraz z modułami, w tym panelu HMI, dostarczonych przez Zamawiającego, z przepompownią i systemem SCADA Zamawiającego. Po wymianie sterownika Wykonawca zobowiązany jest do uporządkowania szafy sterowniczej w zakresie prowadzenia tras kablowych (mocowanie kabli, korytka), oznakowania wszystkich żył zgodnie z nową dokumentacją powykonawczą, opisania listew zaciskowych oraz oznaczenia modułów PLC i urządzeń w szafie. Wykonawca wykona nową listę kablową i listę zacisków dla wykonanego zakresu.</w:t>
      </w:r>
    </w:p>
    <w:p w14:paraId="5FB80BCD"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Uzupełnienie brakujących elementów systemu (np. moduły, okablowanie, zabezpieczenia, osprzęt instalacyjny itd.) – w razie potrzeby.</w:t>
      </w:r>
    </w:p>
    <w:p w14:paraId="32A9AAB7"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 xml:space="preserve">Dołożenie pomiaru zużycia energii elektrycznej, wartości napięć, prądów, współczynnika mocy, mocy czynnej, biernej i pozornej. Dostawa urządzeń, podłączenie, konfiguracja, podłączenie do sterownika przepompowni i wystawienie odczytów rejestrami </w:t>
      </w:r>
      <w:proofErr w:type="spellStart"/>
      <w:r w:rsidRPr="00EE6504">
        <w:rPr>
          <w:rFonts w:ascii="Arial" w:hAnsi="Arial" w:cs="Arial"/>
          <w:sz w:val="22"/>
          <w:szCs w:val="22"/>
        </w:rPr>
        <w:t>Modbus</w:t>
      </w:r>
      <w:proofErr w:type="spellEnd"/>
      <w:r w:rsidRPr="00EE6504">
        <w:rPr>
          <w:rFonts w:ascii="Arial" w:hAnsi="Arial" w:cs="Arial"/>
          <w:sz w:val="22"/>
          <w:szCs w:val="22"/>
        </w:rPr>
        <w:t xml:space="preserve"> ze sterownika PLC przepompowni do sterownika PLC systemu SCADA.</w:t>
      </w:r>
    </w:p>
    <w:p w14:paraId="3206EFE5"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 xml:space="preserve">Przeniesienie wszystkich istniejących sygnałów wejściowych i wyjściowych, w tym rejestrów </w:t>
      </w:r>
      <w:proofErr w:type="spellStart"/>
      <w:r w:rsidRPr="00EE6504">
        <w:rPr>
          <w:rFonts w:ascii="Arial" w:hAnsi="Arial" w:cs="Arial"/>
          <w:sz w:val="22"/>
          <w:szCs w:val="22"/>
        </w:rPr>
        <w:t>Modbus</w:t>
      </w:r>
      <w:proofErr w:type="spellEnd"/>
      <w:r w:rsidRPr="00EE6504">
        <w:rPr>
          <w:rFonts w:ascii="Arial" w:hAnsi="Arial" w:cs="Arial"/>
          <w:sz w:val="22"/>
          <w:szCs w:val="22"/>
        </w:rPr>
        <w:t xml:space="preserve"> przesyłanych do systemu SCADA.</w:t>
      </w:r>
    </w:p>
    <w:p w14:paraId="4F2DED9F"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 xml:space="preserve">Wykonanie oraz implementacja kompletnego programu sterującego, odwzorowującego dotychczasową funkcjonalność przepompowni i rozszerzonego o </w:t>
      </w:r>
      <w:r w:rsidRPr="00EE6504">
        <w:rPr>
          <w:rFonts w:ascii="Arial" w:hAnsi="Arial" w:cs="Arial"/>
          <w:sz w:val="22"/>
          <w:szCs w:val="22"/>
        </w:rPr>
        <w:lastRenderedPageBreak/>
        <w:t>obsługę dokładanego pomiaru energii elektrycznej, na sterowniku montowanym, a także drugim, zapasowym, na panelu HMI montowanym i drugim zapasowym.</w:t>
      </w:r>
    </w:p>
    <w:p w14:paraId="3001C6E7"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Dostarczenie oprogramowania wraz z licencją bezterminową do środowiska programistycznego umożliwiającą edycję programu sterownika i panelu HMI. Wykonawca dostarczy licencję SIMATIC STEP 7 Professional TIA Portal (nie Basic, nie Comfort) w wersji kompatybilnej z dostarczonym sterownikiem SIMATIC S7-1500 / CPU 1513-1 PN oraz panelem HMI 6AV2123-3MB32-0AW0, minimum 1 stanowisko inżynierskie. Licencje muszą zostać przekazane Zamawiającemu na czas nieoznaczony, bez ograniczeń liczby uruchomień oraz bez konieczności ponoszenia dodatkowych opłat abonamentowych lub opłat za aktualizacje wymagane do prawidłowego działania dostarczonego systemu. Zamawiający musi posiadać pełne prawa do modyfikacji, archiwizacji i przeniesienia oprogramowania na inną stację inżynierską bez udziału Wykonawcy.</w:t>
      </w:r>
    </w:p>
    <w:p w14:paraId="4F385319"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Konfigurację komunikacji systemu sterowania z systemem nadrzędnym SCADA Zamawiającego. Za konfigurację komunikacji nowego sterownika PLC przepompowni, obsługującego obiekt lokalnie, odpowiada Wykonawca, konfigurację sterownika telemetrycznego, obsługującego transmisję do SCADA, wykona przedstawiciel Zamawiającego.</w:t>
      </w:r>
    </w:p>
    <w:p w14:paraId="3ED8D55A"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Uruchomienie systemu sterowania.</w:t>
      </w:r>
    </w:p>
    <w:p w14:paraId="1F7DAD6C"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Przeprowadzenie testów funkcjonalnych i rozruchu technologicznego.</w:t>
      </w:r>
    </w:p>
    <w:p w14:paraId="3372C5E7"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Wykonanie dokumentacji powykonawczej.</w:t>
      </w:r>
    </w:p>
    <w:p w14:paraId="551EF533" w14:textId="77777777" w:rsidR="00EE6504" w:rsidRPr="00EE6504" w:rsidRDefault="00EE6504" w:rsidP="00EE6504">
      <w:pPr>
        <w:pStyle w:val="Akapitzlist"/>
        <w:numPr>
          <w:ilvl w:val="0"/>
          <w:numId w:val="24"/>
        </w:numPr>
        <w:spacing w:after="0" w:line="240" w:lineRule="auto"/>
        <w:jc w:val="both"/>
        <w:rPr>
          <w:rFonts w:ascii="Arial" w:hAnsi="Arial" w:cs="Arial"/>
          <w:sz w:val="22"/>
          <w:szCs w:val="22"/>
        </w:rPr>
      </w:pPr>
      <w:r w:rsidRPr="00EE6504">
        <w:rPr>
          <w:rFonts w:ascii="Arial" w:hAnsi="Arial" w:cs="Arial"/>
          <w:sz w:val="22"/>
          <w:szCs w:val="22"/>
        </w:rPr>
        <w:t>Zakres zamówienia nie obejmuje przebudowy instalacji technologicznej ani wymiany urządzeń obiektowych.</w:t>
      </w:r>
    </w:p>
    <w:p w14:paraId="1FB18DE8" w14:textId="77777777" w:rsidR="00EE6504" w:rsidRPr="00EE6504" w:rsidRDefault="00EE6504" w:rsidP="00EE6504">
      <w:pPr>
        <w:pStyle w:val="Nagwek2"/>
        <w:numPr>
          <w:ilvl w:val="1"/>
          <w:numId w:val="9"/>
        </w:numPr>
        <w:spacing w:before="360" w:after="120" w:line="240" w:lineRule="auto"/>
        <w:jc w:val="both"/>
        <w:rPr>
          <w:rFonts w:ascii="Arial" w:hAnsi="Arial" w:cs="Arial"/>
          <w:sz w:val="22"/>
          <w:szCs w:val="22"/>
        </w:rPr>
      </w:pPr>
      <w:bookmarkStart w:id="4" w:name="_Toc231883655"/>
      <w:r w:rsidRPr="00EE6504">
        <w:rPr>
          <w:rFonts w:ascii="Arial" w:hAnsi="Arial" w:cs="Arial"/>
          <w:sz w:val="22"/>
          <w:szCs w:val="22"/>
        </w:rPr>
        <w:t>Stan istniejący</w:t>
      </w:r>
      <w:bookmarkEnd w:id="4"/>
    </w:p>
    <w:p w14:paraId="799DB1BA" w14:textId="77777777" w:rsidR="00EE6504" w:rsidRPr="00EE6504" w:rsidRDefault="00EE6504" w:rsidP="00EE6504">
      <w:pPr>
        <w:rPr>
          <w:rFonts w:ascii="Arial" w:hAnsi="Arial" w:cs="Arial"/>
          <w:sz w:val="22"/>
          <w:szCs w:val="22"/>
        </w:rPr>
      </w:pPr>
      <w:r w:rsidRPr="00EE6504">
        <w:rPr>
          <w:rFonts w:ascii="Arial" w:hAnsi="Arial" w:cs="Arial"/>
          <w:sz w:val="22"/>
          <w:szCs w:val="22"/>
        </w:rPr>
        <w:t>Przepompownia ścieków PK-1 stanowi złożony obiekt technologiczny pracujący w warunkach zmiennego dopływu ścieków, obejmujący układ pomp, mieszadeł, rozdrabniarki, układ rozdziału ścieków oraz przelewy awaryjne.</w:t>
      </w:r>
    </w:p>
    <w:p w14:paraId="31B83278" w14:textId="77777777" w:rsidR="00EE6504" w:rsidRPr="00EE6504" w:rsidRDefault="00EE6504" w:rsidP="00EE6504">
      <w:pPr>
        <w:rPr>
          <w:rFonts w:ascii="Arial" w:hAnsi="Arial" w:cs="Arial"/>
          <w:sz w:val="22"/>
          <w:szCs w:val="22"/>
        </w:rPr>
      </w:pPr>
      <w:r w:rsidRPr="00EE6504">
        <w:rPr>
          <w:rFonts w:ascii="Arial" w:hAnsi="Arial" w:cs="Arial"/>
          <w:sz w:val="22"/>
          <w:szCs w:val="22"/>
        </w:rPr>
        <w:t>System sterowania oparty jest na sterowniku PLC OMRON i realizuje:</w:t>
      </w:r>
    </w:p>
    <w:p w14:paraId="0274EFDA" w14:textId="77777777" w:rsidR="00EE6504" w:rsidRPr="00EE6504" w:rsidRDefault="00EE6504" w:rsidP="00EE6504">
      <w:pPr>
        <w:pStyle w:val="Akapitzlist"/>
        <w:numPr>
          <w:ilvl w:val="0"/>
          <w:numId w:val="23"/>
        </w:numPr>
        <w:spacing w:line="240" w:lineRule="auto"/>
        <w:jc w:val="both"/>
        <w:rPr>
          <w:rFonts w:ascii="Arial" w:hAnsi="Arial" w:cs="Arial"/>
          <w:sz w:val="22"/>
          <w:szCs w:val="22"/>
        </w:rPr>
      </w:pPr>
      <w:r w:rsidRPr="00EE6504">
        <w:rPr>
          <w:rFonts w:ascii="Arial" w:hAnsi="Arial" w:cs="Arial"/>
          <w:sz w:val="22"/>
          <w:szCs w:val="22"/>
        </w:rPr>
        <w:t>pracę pomp w układzie naprzemiennym,</w:t>
      </w:r>
    </w:p>
    <w:p w14:paraId="5B2231E5" w14:textId="77777777" w:rsidR="00EE6504" w:rsidRPr="00EE6504" w:rsidRDefault="00EE6504" w:rsidP="00EE6504">
      <w:pPr>
        <w:pStyle w:val="Akapitzlist"/>
        <w:numPr>
          <w:ilvl w:val="0"/>
          <w:numId w:val="23"/>
        </w:numPr>
        <w:spacing w:line="240" w:lineRule="auto"/>
        <w:jc w:val="both"/>
        <w:rPr>
          <w:rFonts w:ascii="Arial" w:hAnsi="Arial" w:cs="Arial"/>
          <w:sz w:val="22"/>
          <w:szCs w:val="22"/>
        </w:rPr>
      </w:pPr>
      <w:r w:rsidRPr="00EE6504">
        <w:rPr>
          <w:rFonts w:ascii="Arial" w:hAnsi="Arial" w:cs="Arial"/>
          <w:sz w:val="22"/>
          <w:szCs w:val="22"/>
        </w:rPr>
        <w:t>sterowanie mieszadłami,</w:t>
      </w:r>
    </w:p>
    <w:p w14:paraId="49E104C5" w14:textId="77777777" w:rsidR="00EE6504" w:rsidRPr="00EE6504" w:rsidRDefault="00EE6504" w:rsidP="00EE6504">
      <w:pPr>
        <w:pStyle w:val="Akapitzlist"/>
        <w:numPr>
          <w:ilvl w:val="0"/>
          <w:numId w:val="23"/>
        </w:numPr>
        <w:spacing w:line="240" w:lineRule="auto"/>
        <w:jc w:val="both"/>
        <w:rPr>
          <w:rFonts w:ascii="Arial" w:hAnsi="Arial" w:cs="Arial"/>
          <w:sz w:val="22"/>
          <w:szCs w:val="22"/>
        </w:rPr>
      </w:pPr>
      <w:r w:rsidRPr="00EE6504">
        <w:rPr>
          <w:rFonts w:ascii="Arial" w:hAnsi="Arial" w:cs="Arial"/>
          <w:sz w:val="22"/>
          <w:szCs w:val="22"/>
        </w:rPr>
        <w:t>sterowanie rozdrabniarkami,</w:t>
      </w:r>
    </w:p>
    <w:p w14:paraId="5880DD98" w14:textId="77777777" w:rsidR="00EE6504" w:rsidRPr="00EE6504" w:rsidRDefault="00EE6504" w:rsidP="00EE6504">
      <w:pPr>
        <w:pStyle w:val="Akapitzlist"/>
        <w:numPr>
          <w:ilvl w:val="0"/>
          <w:numId w:val="23"/>
        </w:numPr>
        <w:spacing w:line="240" w:lineRule="auto"/>
        <w:jc w:val="both"/>
        <w:rPr>
          <w:rFonts w:ascii="Arial" w:hAnsi="Arial" w:cs="Arial"/>
          <w:sz w:val="22"/>
          <w:szCs w:val="22"/>
        </w:rPr>
      </w:pPr>
      <w:r w:rsidRPr="00EE6504">
        <w:rPr>
          <w:rFonts w:ascii="Arial" w:hAnsi="Arial" w:cs="Arial"/>
          <w:sz w:val="22"/>
          <w:szCs w:val="22"/>
        </w:rPr>
        <w:t>sterowanie w funkcji poziomu ścieków,</w:t>
      </w:r>
    </w:p>
    <w:p w14:paraId="62C1FCDD" w14:textId="77777777" w:rsidR="00EE6504" w:rsidRPr="00EE6504" w:rsidRDefault="00EE6504" w:rsidP="00EE6504">
      <w:pPr>
        <w:pStyle w:val="Akapitzlist"/>
        <w:numPr>
          <w:ilvl w:val="0"/>
          <w:numId w:val="23"/>
        </w:numPr>
        <w:spacing w:line="240" w:lineRule="auto"/>
        <w:jc w:val="both"/>
        <w:rPr>
          <w:rFonts w:ascii="Arial" w:hAnsi="Arial" w:cs="Arial"/>
          <w:sz w:val="22"/>
          <w:szCs w:val="22"/>
        </w:rPr>
      </w:pPr>
      <w:r w:rsidRPr="00EE6504">
        <w:rPr>
          <w:rFonts w:ascii="Arial" w:hAnsi="Arial" w:cs="Arial"/>
          <w:sz w:val="22"/>
          <w:szCs w:val="22"/>
        </w:rPr>
        <w:t>obsługę czujników poziomu (sondy + pływaki),</w:t>
      </w:r>
    </w:p>
    <w:p w14:paraId="470E92A9" w14:textId="77777777" w:rsidR="00EE6504" w:rsidRPr="00EE6504" w:rsidRDefault="00EE6504" w:rsidP="00EE6504">
      <w:pPr>
        <w:pStyle w:val="Akapitzlist"/>
        <w:numPr>
          <w:ilvl w:val="0"/>
          <w:numId w:val="23"/>
        </w:numPr>
        <w:spacing w:line="240" w:lineRule="auto"/>
        <w:jc w:val="both"/>
        <w:rPr>
          <w:rFonts w:ascii="Arial" w:hAnsi="Arial" w:cs="Arial"/>
          <w:sz w:val="22"/>
          <w:szCs w:val="22"/>
        </w:rPr>
      </w:pPr>
      <w:r w:rsidRPr="00EE6504">
        <w:rPr>
          <w:rFonts w:ascii="Arial" w:hAnsi="Arial" w:cs="Arial"/>
          <w:sz w:val="22"/>
          <w:szCs w:val="22"/>
        </w:rPr>
        <w:t>pracę w warunkach normalnych i awaryjnych,</w:t>
      </w:r>
    </w:p>
    <w:p w14:paraId="151D3836" w14:textId="77777777" w:rsidR="00EE6504" w:rsidRPr="00EE6504" w:rsidRDefault="00EE6504" w:rsidP="00EE6504">
      <w:pPr>
        <w:pStyle w:val="Akapitzlist"/>
        <w:numPr>
          <w:ilvl w:val="0"/>
          <w:numId w:val="23"/>
        </w:numPr>
        <w:spacing w:after="0" w:line="240" w:lineRule="auto"/>
        <w:jc w:val="both"/>
        <w:rPr>
          <w:rFonts w:ascii="Arial" w:hAnsi="Arial" w:cs="Arial"/>
          <w:sz w:val="22"/>
          <w:szCs w:val="22"/>
        </w:rPr>
      </w:pPr>
      <w:r w:rsidRPr="00EE6504">
        <w:rPr>
          <w:rFonts w:ascii="Arial" w:hAnsi="Arial" w:cs="Arial"/>
          <w:sz w:val="22"/>
          <w:szCs w:val="22"/>
        </w:rPr>
        <w:t>współpracę z układem hydraulicznym obiektu.</w:t>
      </w:r>
    </w:p>
    <w:p w14:paraId="1D0228CA" w14:textId="77777777" w:rsidR="00EE6504" w:rsidRPr="00EE6504" w:rsidRDefault="00EE6504" w:rsidP="00EE6504">
      <w:pPr>
        <w:pStyle w:val="pf0"/>
        <w:numPr>
          <w:ilvl w:val="0"/>
          <w:numId w:val="23"/>
        </w:numPr>
        <w:rPr>
          <w:rFonts w:ascii="Arial" w:hAnsi="Arial" w:cs="Arial"/>
          <w:sz w:val="22"/>
          <w:szCs w:val="22"/>
        </w:rPr>
      </w:pPr>
      <w:r w:rsidRPr="00EE6504">
        <w:rPr>
          <w:rStyle w:val="cf01"/>
          <w:rFonts w:ascii="Arial" w:hAnsi="Arial" w:cs="Arial"/>
          <w:sz w:val="22"/>
          <w:szCs w:val="22"/>
        </w:rPr>
        <w:t>Obiekt wyposażony jest w armaturę z napędami elektrycznymi AUMA (zasuwy nożowe), przepływomierze elektromagnetyczne Siemens MAG3100/MAG1100/MAG5100 (DN200–DN500), sondy radarowe poziomu VEGA PULS 61, pływaki awaryjne, oraz pompkę odwodnieniową. Wszystkie wymienione urządzenia objęte istniejącym systemem sterowania OMRON CJ1M-CPU13-ETN należy uwzględnić podczas migracji. W przypadku, gdy w obiekcie zainstalowane są przemienniki częstotliwości (falowniki VFD) sterujące napędami pomp lub innych urządzeń, Wykonawca zobowiązany jest do ich inwentaryzacji w ramach Etapu I oraz odtworzenia pełnej komunikacji i integracji z nowym sterownikiem SIMATIC S7-1500 (</w:t>
      </w:r>
      <w:proofErr w:type="spellStart"/>
      <w:r w:rsidRPr="00EE6504">
        <w:rPr>
          <w:rStyle w:val="cf01"/>
          <w:rFonts w:ascii="Arial" w:hAnsi="Arial" w:cs="Arial"/>
          <w:sz w:val="22"/>
          <w:szCs w:val="22"/>
        </w:rPr>
        <w:t>Modbus</w:t>
      </w:r>
      <w:proofErr w:type="spellEnd"/>
      <w:r w:rsidRPr="00EE6504">
        <w:rPr>
          <w:rStyle w:val="cf01"/>
          <w:rFonts w:ascii="Arial" w:hAnsi="Arial" w:cs="Arial"/>
          <w:sz w:val="22"/>
          <w:szCs w:val="22"/>
        </w:rPr>
        <w:t xml:space="preserve"> RTU/TCP, PROFINET lub </w:t>
      </w:r>
      <w:proofErr w:type="spellStart"/>
      <w:r w:rsidRPr="00EE6504">
        <w:rPr>
          <w:rStyle w:val="cf01"/>
          <w:rFonts w:ascii="Arial" w:hAnsi="Arial" w:cs="Arial"/>
          <w:sz w:val="22"/>
          <w:szCs w:val="22"/>
        </w:rPr>
        <w:t>hardwired</w:t>
      </w:r>
      <w:proofErr w:type="spellEnd"/>
      <w:r w:rsidRPr="00EE6504">
        <w:rPr>
          <w:rStyle w:val="cf01"/>
          <w:rFonts w:ascii="Arial" w:hAnsi="Arial" w:cs="Arial"/>
          <w:sz w:val="22"/>
          <w:szCs w:val="22"/>
        </w:rPr>
        <w:t xml:space="preserve"> – zgodnie ze stanem istniejącym). Parametryzacja falowników nie może ulec zmianie bez pisemnej zgody Zamawiającego.</w:t>
      </w:r>
    </w:p>
    <w:p w14:paraId="76E3978F" w14:textId="77777777" w:rsidR="00EE6504" w:rsidRPr="00EE6504" w:rsidRDefault="00EE6504" w:rsidP="00EE6504">
      <w:pPr>
        <w:pStyle w:val="pf0"/>
        <w:numPr>
          <w:ilvl w:val="0"/>
          <w:numId w:val="23"/>
        </w:numPr>
        <w:rPr>
          <w:rFonts w:ascii="Arial" w:hAnsi="Arial" w:cs="Arial"/>
          <w:sz w:val="22"/>
          <w:szCs w:val="22"/>
        </w:rPr>
      </w:pPr>
      <w:r w:rsidRPr="00EE6504">
        <w:rPr>
          <w:rStyle w:val="cf01"/>
          <w:rFonts w:ascii="Arial" w:hAnsi="Arial" w:cs="Arial"/>
          <w:sz w:val="22"/>
          <w:szCs w:val="22"/>
        </w:rPr>
        <w:t>Sterowanie pracą zasuw realizowane jest przełącznikami rodzaju pracy (31M–35M, 41M–45M) w rozdzielnicy głównej.</w:t>
      </w:r>
    </w:p>
    <w:p w14:paraId="143A4269" w14:textId="77777777" w:rsidR="00EE6504" w:rsidRPr="00EE6504" w:rsidRDefault="00EE6504" w:rsidP="00EE6504">
      <w:pPr>
        <w:pStyle w:val="Nagwek2"/>
        <w:numPr>
          <w:ilvl w:val="1"/>
          <w:numId w:val="9"/>
        </w:numPr>
        <w:spacing w:before="360" w:after="120" w:line="240" w:lineRule="auto"/>
        <w:jc w:val="both"/>
        <w:rPr>
          <w:rFonts w:ascii="Arial" w:hAnsi="Arial" w:cs="Arial"/>
          <w:sz w:val="22"/>
          <w:szCs w:val="22"/>
        </w:rPr>
      </w:pPr>
      <w:bookmarkStart w:id="5" w:name="_Toc231883656"/>
      <w:r w:rsidRPr="00EE6504">
        <w:rPr>
          <w:rFonts w:ascii="Arial" w:hAnsi="Arial" w:cs="Arial"/>
          <w:sz w:val="22"/>
          <w:szCs w:val="22"/>
        </w:rPr>
        <w:lastRenderedPageBreak/>
        <w:t>Wymagania ogólne</w:t>
      </w:r>
      <w:bookmarkEnd w:id="5"/>
    </w:p>
    <w:p w14:paraId="1A127A8F"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prac jest odpowiedzialny za jakość ich wykonania oraz za ich zgodność z zakresem prac przedstawionych przez Zamawiającego.</w:t>
      </w:r>
    </w:p>
    <w:p w14:paraId="51F46D35"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na czas prac zapewni prawidłową ciągłość pracy przepompowni ścieków.</w:t>
      </w:r>
    </w:p>
    <w:p w14:paraId="290E5901"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dostarczy Zamawiającemu oprogramowanie narzędziowe wraz z licencjami i niezbędnymi przewodami, koniecznymi do konfiguracji i programowania zainstalowanych urządzeń (sterownika, paneli operatorskich, przetworników pomiarowych, analizatorów sieci, itd.) w zakresie umożliwiającym Zamawiającemu wykonywanie modyfikacji aplikacji, podłączenie nowych urządzeń, sygnałów lub zmianę algorytmu sterowania.</w:t>
      </w:r>
    </w:p>
    <w:p w14:paraId="26795188"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dostarczy Zamawiającemu listę wszystkich rejestrów używanych do komunikacji.</w:t>
      </w:r>
    </w:p>
    <w:p w14:paraId="1739A3E7"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dostarczy Zamawiającemu niezabezpieczone hasłami kopie programów zainstalowanych w sterownikach, panelach operatorskich, falownikach i przetwornikach pomiarowych i innych, w tym wersje edytowalne/projekty programów.</w:t>
      </w:r>
    </w:p>
    <w:p w14:paraId="19519210"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dostarczy Zamawiającemu dokumentację techniczną, schematy elektryczne i automatyki, instrukcje obsługi urządzeń, atesty, certyfikaty, deklaracje zgodności CE po wykonaniu zadania do końca umowy.</w:t>
      </w:r>
    </w:p>
    <w:p w14:paraId="695D2BAE"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przeszkoli obsługę Zamawiającego w zakresie eksploatacji obiektu.</w:t>
      </w:r>
    </w:p>
    <w:p w14:paraId="36619112"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będzie odpowiedzialny za stabilność i bezpieczeństwo wszystkich prowadzonych prac. Przed rozpoczęciem prac Wykonawca wykona pełną kopię bezpieczeństwa istniejącego systemu sterowania obejmującą program sterownika PLC, konfigurację panelu operatorskiego HMI oraz konfigurację komunikacji z systemem SCADA.</w:t>
      </w:r>
    </w:p>
    <w:p w14:paraId="580737BB"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opracuje i przekaże Zamawiającemu procedurę awaryjnego przywrócenia istniejącego systemu sterowania (</w:t>
      </w:r>
      <w:proofErr w:type="spellStart"/>
      <w:r w:rsidRPr="00EE6504">
        <w:rPr>
          <w:rFonts w:ascii="Arial" w:hAnsi="Arial" w:cs="Arial"/>
          <w:sz w:val="22"/>
          <w:szCs w:val="22"/>
        </w:rPr>
        <w:t>Rollback</w:t>
      </w:r>
      <w:proofErr w:type="spellEnd"/>
      <w:r w:rsidRPr="00EE6504">
        <w:rPr>
          <w:rFonts w:ascii="Arial" w:hAnsi="Arial" w:cs="Arial"/>
          <w:sz w:val="22"/>
          <w:szCs w:val="22"/>
        </w:rPr>
        <w:t xml:space="preserve"> </w:t>
      </w:r>
      <w:proofErr w:type="spellStart"/>
      <w:r w:rsidRPr="00EE6504">
        <w:rPr>
          <w:rFonts w:ascii="Arial" w:hAnsi="Arial" w:cs="Arial"/>
          <w:sz w:val="22"/>
          <w:szCs w:val="22"/>
        </w:rPr>
        <w:t>Procedure</w:t>
      </w:r>
      <w:proofErr w:type="spellEnd"/>
      <w:r w:rsidRPr="00EE6504">
        <w:rPr>
          <w:rFonts w:ascii="Arial" w:hAnsi="Arial" w:cs="Arial"/>
          <w:sz w:val="22"/>
          <w:szCs w:val="22"/>
        </w:rPr>
        <w:t xml:space="preserve">) na wypadek niepowodzenia migracji lub wystąpienia nieprawidłowości podczas rozruchu technologicznego. Procedura musi umożliwiać ponowne uruchomienie obiektu na sterowniku OMRON w czasie nieprzekraczającym 4 godzin od podjęcia decyzji o </w:t>
      </w:r>
      <w:proofErr w:type="spellStart"/>
      <w:r w:rsidRPr="00EE6504">
        <w:rPr>
          <w:rFonts w:ascii="Arial" w:hAnsi="Arial" w:cs="Arial"/>
          <w:sz w:val="22"/>
          <w:szCs w:val="22"/>
        </w:rPr>
        <w:t>rollbacku</w:t>
      </w:r>
      <w:proofErr w:type="spellEnd"/>
      <w:r w:rsidRPr="00EE6504">
        <w:rPr>
          <w:rFonts w:ascii="Arial" w:hAnsi="Arial" w:cs="Arial"/>
          <w:sz w:val="22"/>
          <w:szCs w:val="22"/>
        </w:rPr>
        <w:t xml:space="preserve">. Po zakończeniu Etapu II (oprogramowanie PLC i HMI), a przed przystąpieniem do Etapu III (montaż na obiekcie), Wykonawca przeprowadzi Test Weryfikacyjny Fabryczny (FAT – </w:t>
      </w:r>
      <w:proofErr w:type="spellStart"/>
      <w:r w:rsidRPr="00EE6504">
        <w:rPr>
          <w:rFonts w:ascii="Arial" w:hAnsi="Arial" w:cs="Arial"/>
          <w:sz w:val="22"/>
          <w:szCs w:val="22"/>
        </w:rPr>
        <w:t>Factory</w:t>
      </w:r>
      <w:proofErr w:type="spellEnd"/>
      <w:r w:rsidRPr="00EE6504">
        <w:rPr>
          <w:rFonts w:ascii="Arial" w:hAnsi="Arial" w:cs="Arial"/>
          <w:sz w:val="22"/>
          <w:szCs w:val="22"/>
        </w:rPr>
        <w:t xml:space="preserve"> </w:t>
      </w:r>
      <w:proofErr w:type="spellStart"/>
      <w:r w:rsidRPr="00EE6504">
        <w:rPr>
          <w:rFonts w:ascii="Arial" w:hAnsi="Arial" w:cs="Arial"/>
          <w:sz w:val="22"/>
          <w:szCs w:val="22"/>
        </w:rPr>
        <w:t>Acceptance</w:t>
      </w:r>
      <w:proofErr w:type="spellEnd"/>
      <w:r w:rsidRPr="00EE6504">
        <w:rPr>
          <w:rFonts w:ascii="Arial" w:hAnsi="Arial" w:cs="Arial"/>
          <w:sz w:val="22"/>
          <w:szCs w:val="22"/>
        </w:rPr>
        <w:t xml:space="preserve"> Test) polegający na weryfikacji kompletności i poprawności działania oprogramowania PLC i HMI. Z testu FAT sporządzony zostanie protokół, który stanowi warunek dopuszczenia do montażu na obiekcie (Etap III). Udział przedstawiciela Zamawiającego w teście FAT jest fakultatywny, jednak Wykonawca zobowiązany jest do poinformowania Zamawiającego o terminie testu z wyprzedzeniem minimum 5 dni roboczych.</w:t>
      </w:r>
    </w:p>
    <w:p w14:paraId="27F1D2C2"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Zamawiający przekaże Wykonawcy obiekt w terminie określonym w Zamówieniu.</w:t>
      </w:r>
    </w:p>
    <w:p w14:paraId="032F1D72"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Wykonawca odpowiada za utrzymanie porządku na terenie wykonywanych prac.</w:t>
      </w:r>
    </w:p>
    <w:p w14:paraId="41893E09"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Zdemontowane i niewykorzystane urządzenia należy przekazać Zamawiającemu.</w:t>
      </w:r>
    </w:p>
    <w:p w14:paraId="491DABC6" w14:textId="77777777" w:rsidR="00EE6504" w:rsidRPr="00EE6504" w:rsidRDefault="00EE6504" w:rsidP="00EE6504">
      <w:pPr>
        <w:pStyle w:val="Akapitzlist"/>
        <w:rPr>
          <w:rFonts w:ascii="Arial" w:hAnsi="Arial" w:cs="Arial"/>
          <w:sz w:val="22"/>
          <w:szCs w:val="22"/>
        </w:rPr>
      </w:pPr>
    </w:p>
    <w:p w14:paraId="1253A6DF" w14:textId="77777777" w:rsidR="00EE6504" w:rsidRPr="00EE6504" w:rsidRDefault="00EE6504" w:rsidP="00EE6504">
      <w:pPr>
        <w:pStyle w:val="Nagwek2"/>
        <w:ind w:left="284"/>
        <w:rPr>
          <w:rFonts w:ascii="Arial" w:hAnsi="Arial" w:cs="Arial"/>
          <w:sz w:val="22"/>
          <w:szCs w:val="22"/>
        </w:rPr>
      </w:pPr>
      <w:bookmarkStart w:id="6" w:name="_Toc231883657"/>
      <w:r w:rsidRPr="00EE6504">
        <w:rPr>
          <w:rFonts w:ascii="Arial" w:hAnsi="Arial" w:cs="Arial"/>
          <w:sz w:val="22"/>
          <w:szCs w:val="22"/>
        </w:rPr>
        <w:t>1.5. Termin realizacji</w:t>
      </w:r>
      <w:bookmarkEnd w:id="6"/>
    </w:p>
    <w:p w14:paraId="2E35679E" w14:textId="77777777" w:rsidR="00EE6504" w:rsidRPr="00EE6504" w:rsidRDefault="00EE6504" w:rsidP="00EE6504">
      <w:pPr>
        <w:rPr>
          <w:rFonts w:ascii="Arial" w:hAnsi="Arial" w:cs="Arial"/>
          <w:sz w:val="22"/>
          <w:szCs w:val="22"/>
        </w:rPr>
      </w:pPr>
    </w:p>
    <w:p w14:paraId="51D4F17D" w14:textId="77777777" w:rsidR="00EE6504" w:rsidRPr="00EE6504" w:rsidRDefault="00EE6504" w:rsidP="00EE6504">
      <w:pPr>
        <w:pStyle w:val="Akapitzlist"/>
        <w:rPr>
          <w:rFonts w:ascii="Arial" w:hAnsi="Arial" w:cs="Arial"/>
          <w:sz w:val="22"/>
          <w:szCs w:val="22"/>
        </w:rPr>
      </w:pPr>
      <w:r w:rsidRPr="00EE6504">
        <w:rPr>
          <w:rFonts w:ascii="Arial" w:hAnsi="Arial" w:cs="Arial"/>
          <w:sz w:val="22"/>
          <w:szCs w:val="22"/>
        </w:rPr>
        <w:t>Wykonawca zobowiązany jest do wykonania całości przedmiotu zamówienia, uzyskania odbioru końcowego oraz przekazania kompletnej dokumentacji powykonawczej w terminie do 90 dni kalendarzowych od dnia zawarcia umowy.</w:t>
      </w:r>
    </w:p>
    <w:p w14:paraId="7141211F" w14:textId="77777777" w:rsidR="00EE6504" w:rsidRPr="00EE6504" w:rsidRDefault="00EE6504" w:rsidP="00EE6504">
      <w:pPr>
        <w:pStyle w:val="Akapitzlist"/>
        <w:rPr>
          <w:rFonts w:ascii="Arial" w:hAnsi="Arial" w:cs="Arial"/>
          <w:sz w:val="22"/>
          <w:szCs w:val="22"/>
        </w:rPr>
      </w:pPr>
    </w:p>
    <w:p w14:paraId="6AA0A4DC" w14:textId="77777777" w:rsidR="00EE6504" w:rsidRPr="00EE6504" w:rsidRDefault="00EE6504" w:rsidP="00EE6504">
      <w:pPr>
        <w:pStyle w:val="Akapitzlist"/>
        <w:rPr>
          <w:rFonts w:ascii="Arial" w:hAnsi="Arial" w:cs="Arial"/>
          <w:sz w:val="22"/>
          <w:szCs w:val="22"/>
        </w:rPr>
      </w:pPr>
      <w:r w:rsidRPr="00EE6504">
        <w:rPr>
          <w:rFonts w:ascii="Arial" w:hAnsi="Arial" w:cs="Arial"/>
          <w:sz w:val="22"/>
          <w:szCs w:val="22"/>
        </w:rPr>
        <w:t>Za zakończenie realizacji przedmiotu zamówienia uznaje się podpisanie bezusterkowego protokołu odbioru końcowego po zakończeniu rozruchu technologicznego oraz pozytywnym zakończeniu okresu obserwacji eksploatacyjnej.</w:t>
      </w:r>
    </w:p>
    <w:p w14:paraId="2FE17CD7" w14:textId="77777777" w:rsidR="00EE6504" w:rsidRPr="00EE6504" w:rsidRDefault="00EE6504" w:rsidP="00EE6504">
      <w:pPr>
        <w:pStyle w:val="Akapitzlist"/>
        <w:rPr>
          <w:rFonts w:ascii="Arial" w:hAnsi="Arial" w:cs="Arial"/>
          <w:sz w:val="22"/>
          <w:szCs w:val="22"/>
        </w:rPr>
      </w:pPr>
    </w:p>
    <w:p w14:paraId="787F13AD"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lastRenderedPageBreak/>
        <w:t>Realizacja zadania powinna obejmować co najmniej następujące etapy:</w:t>
      </w:r>
    </w:p>
    <w:p w14:paraId="3E22D04E"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Etap I – inwentaryzacja systemu sterowania oraz opracowanie SOF,</w:t>
      </w:r>
    </w:p>
    <w:p w14:paraId="589E0EEF"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Etap II – wykonanie oprogramowania PLC i HMI oraz przeprowadzenie FAT (Test Weryfikacyjny Fabryczny),</w:t>
      </w:r>
    </w:p>
    <w:p w14:paraId="42AFD56B"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 xml:space="preserve">Etap III – montaż i konfiguracja urządzeń na obiekcie oraz przeprowadzenie SAT (Site </w:t>
      </w:r>
      <w:proofErr w:type="spellStart"/>
      <w:r w:rsidRPr="00EE6504">
        <w:rPr>
          <w:rFonts w:ascii="Arial" w:hAnsi="Arial" w:cs="Arial"/>
          <w:sz w:val="22"/>
          <w:szCs w:val="22"/>
        </w:rPr>
        <w:t>Acceptance</w:t>
      </w:r>
      <w:proofErr w:type="spellEnd"/>
      <w:r w:rsidRPr="00EE6504">
        <w:rPr>
          <w:rFonts w:ascii="Arial" w:hAnsi="Arial" w:cs="Arial"/>
          <w:sz w:val="22"/>
          <w:szCs w:val="22"/>
        </w:rPr>
        <w:t xml:space="preserve"> Test),</w:t>
      </w:r>
    </w:p>
    <w:p w14:paraId="6E9B479B"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Etap IV – uruchomienie i rozruch technologiczny,</w:t>
      </w:r>
    </w:p>
    <w:p w14:paraId="5616E810"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Etap V – obserwacja eksploatacyjna i odbiór końcowy.</w:t>
      </w:r>
    </w:p>
    <w:p w14:paraId="47D1973D" w14:textId="77777777" w:rsidR="00EE6504" w:rsidRPr="00EE6504" w:rsidRDefault="00EE6504" w:rsidP="00EE6504">
      <w:pPr>
        <w:pStyle w:val="Akapitzlist"/>
        <w:rPr>
          <w:rFonts w:ascii="Arial" w:hAnsi="Arial" w:cs="Arial"/>
          <w:sz w:val="22"/>
          <w:szCs w:val="22"/>
        </w:rPr>
      </w:pPr>
    </w:p>
    <w:p w14:paraId="4EA3C871" w14:textId="77777777" w:rsidR="00EE6504" w:rsidRPr="00EE6504" w:rsidRDefault="00EE6504" w:rsidP="00EE6504">
      <w:pPr>
        <w:pStyle w:val="Nagwek2"/>
        <w:ind w:left="284"/>
        <w:rPr>
          <w:rFonts w:ascii="Arial" w:hAnsi="Arial" w:cs="Arial"/>
          <w:sz w:val="22"/>
          <w:szCs w:val="22"/>
        </w:rPr>
      </w:pPr>
      <w:bookmarkStart w:id="7" w:name="_Toc231883658"/>
      <w:r w:rsidRPr="00EE6504">
        <w:rPr>
          <w:rFonts w:ascii="Arial" w:hAnsi="Arial" w:cs="Arial"/>
          <w:sz w:val="22"/>
          <w:szCs w:val="22"/>
        </w:rPr>
        <w:t>1.6. Gwarancja i wsparcie powdrożeniowe</w:t>
      </w:r>
      <w:bookmarkEnd w:id="7"/>
    </w:p>
    <w:p w14:paraId="7C4D6340" w14:textId="77777777" w:rsidR="00EE6504" w:rsidRPr="00EE6504" w:rsidRDefault="00EE6504" w:rsidP="00EE6504">
      <w:pPr>
        <w:rPr>
          <w:rFonts w:ascii="Arial" w:hAnsi="Arial" w:cs="Arial"/>
          <w:sz w:val="22"/>
          <w:szCs w:val="22"/>
        </w:rPr>
      </w:pPr>
      <w:r w:rsidRPr="00EE6504">
        <w:rPr>
          <w:rFonts w:ascii="Arial" w:hAnsi="Arial" w:cs="Arial"/>
          <w:sz w:val="22"/>
          <w:szCs w:val="22"/>
        </w:rPr>
        <w:t>Wykonawca udzieli gwarancji na okres minimum 36 miesięcy, licząc od dnia podpisania protokołu odbioru końcowego.</w:t>
      </w:r>
    </w:p>
    <w:p w14:paraId="3FE5840A" w14:textId="77777777" w:rsidR="00EE6504" w:rsidRPr="00EE6504" w:rsidRDefault="00EE6504" w:rsidP="00EE6504">
      <w:pPr>
        <w:ind w:left="360"/>
        <w:rPr>
          <w:rFonts w:ascii="Arial" w:hAnsi="Arial" w:cs="Arial"/>
          <w:sz w:val="22"/>
          <w:szCs w:val="22"/>
        </w:rPr>
      </w:pPr>
      <w:r w:rsidRPr="00EE6504">
        <w:rPr>
          <w:rFonts w:ascii="Arial" w:hAnsi="Arial" w:cs="Arial"/>
          <w:sz w:val="22"/>
          <w:szCs w:val="22"/>
        </w:rPr>
        <w:t>Gwarancja obejmuje w szczególności:</w:t>
      </w:r>
    </w:p>
    <w:p w14:paraId="63073BC9"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wykonane oprogramowanie PLC,</w:t>
      </w:r>
    </w:p>
    <w:p w14:paraId="278D8B27"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aplikację panelu operatorskiego HMI,</w:t>
      </w:r>
    </w:p>
    <w:p w14:paraId="7C2017AE"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konfigurację komunikacji z systemem SCADA,</w:t>
      </w:r>
    </w:p>
    <w:p w14:paraId="7639571C"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konfigurację urządzeń pomiarowych,</w:t>
      </w:r>
    </w:p>
    <w:p w14:paraId="10CFB267"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dostarczone urządzenia i materiały,</w:t>
      </w:r>
    </w:p>
    <w:p w14:paraId="0AFBDC2F"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poprawność działania algorytmów sterowania.</w:t>
      </w:r>
    </w:p>
    <w:p w14:paraId="7B3AA47A" w14:textId="77777777" w:rsidR="00EE6504" w:rsidRPr="00EE6504" w:rsidRDefault="00EE6504" w:rsidP="00EE6504">
      <w:pPr>
        <w:pStyle w:val="Akapitzlist"/>
        <w:numPr>
          <w:ilvl w:val="0"/>
          <w:numId w:val="22"/>
        </w:numPr>
        <w:spacing w:line="240" w:lineRule="auto"/>
        <w:jc w:val="both"/>
        <w:rPr>
          <w:rFonts w:ascii="Arial" w:hAnsi="Arial" w:cs="Arial"/>
          <w:sz w:val="22"/>
          <w:szCs w:val="22"/>
        </w:rPr>
      </w:pPr>
      <w:r w:rsidRPr="00EE6504">
        <w:rPr>
          <w:rFonts w:ascii="Arial" w:hAnsi="Arial" w:cs="Arial"/>
          <w:sz w:val="22"/>
          <w:szCs w:val="22"/>
        </w:rPr>
        <w:t>W okresie gwarancji Wykonawca zobowiązany jest do usuwania wszelkich wad, błędów programowych, błędów komunikacyjnych oraz nieprawidłowości działania systemu sterowania bez dodatkowego wynagrodzenia.</w:t>
      </w:r>
    </w:p>
    <w:p w14:paraId="13C4DF5F" w14:textId="77777777" w:rsidR="00EE6504" w:rsidRPr="00EE6504" w:rsidRDefault="00EE6504" w:rsidP="00EE6504">
      <w:pPr>
        <w:pStyle w:val="Akapitzlist"/>
        <w:rPr>
          <w:rFonts w:ascii="Arial" w:hAnsi="Arial" w:cs="Arial"/>
          <w:sz w:val="22"/>
          <w:szCs w:val="22"/>
        </w:rPr>
      </w:pPr>
    </w:p>
    <w:p w14:paraId="763C7769" w14:textId="77777777" w:rsidR="00F46FAD" w:rsidRPr="00F46FAD" w:rsidRDefault="00F46FAD" w:rsidP="00F46FAD">
      <w:pPr>
        <w:rPr>
          <w:rFonts w:ascii="Arial" w:hAnsi="Arial" w:cs="Arial"/>
          <w:sz w:val="22"/>
          <w:szCs w:val="22"/>
        </w:rPr>
      </w:pPr>
      <w:r w:rsidRPr="00F46FAD">
        <w:rPr>
          <w:rFonts w:ascii="Arial" w:hAnsi="Arial" w:cs="Arial"/>
          <w:sz w:val="22"/>
          <w:szCs w:val="22"/>
        </w:rPr>
        <w:t>Wymagania serwisowe</w:t>
      </w:r>
    </w:p>
    <w:p w14:paraId="08BDDB7A" w14:textId="77777777" w:rsidR="00F46FAD" w:rsidRPr="00F46FAD" w:rsidRDefault="00F46FAD" w:rsidP="00F46FAD">
      <w:pPr>
        <w:rPr>
          <w:rFonts w:ascii="Arial" w:hAnsi="Arial" w:cs="Arial"/>
          <w:sz w:val="22"/>
          <w:szCs w:val="22"/>
        </w:rPr>
      </w:pPr>
      <w:r w:rsidRPr="00F46FAD">
        <w:rPr>
          <w:rFonts w:ascii="Arial" w:hAnsi="Arial" w:cs="Arial"/>
          <w:sz w:val="22"/>
          <w:szCs w:val="22"/>
        </w:rPr>
        <w:t>Wykonawca, w ramach serwisu gwarancyjnego, jest zobowiązany:</w:t>
      </w:r>
    </w:p>
    <w:p w14:paraId="7699932F" w14:textId="53436029" w:rsidR="00F46FAD" w:rsidRPr="00F46FAD" w:rsidRDefault="00F46FAD" w:rsidP="00F46FAD">
      <w:pPr>
        <w:rPr>
          <w:rFonts w:ascii="Arial" w:hAnsi="Arial" w:cs="Arial"/>
          <w:sz w:val="22"/>
          <w:szCs w:val="22"/>
        </w:rPr>
      </w:pPr>
      <w:r w:rsidRPr="00F46FAD">
        <w:rPr>
          <w:rFonts w:ascii="Arial" w:hAnsi="Arial" w:cs="Arial"/>
          <w:sz w:val="22"/>
          <w:szCs w:val="22"/>
        </w:rPr>
        <w:t>•</w:t>
      </w:r>
      <w:r>
        <w:rPr>
          <w:rFonts w:ascii="Arial" w:hAnsi="Arial" w:cs="Arial"/>
          <w:sz w:val="22"/>
          <w:szCs w:val="22"/>
        </w:rPr>
        <w:t xml:space="preserve"> </w:t>
      </w:r>
      <w:r w:rsidRPr="00F46FAD">
        <w:rPr>
          <w:rFonts w:ascii="Arial" w:hAnsi="Arial" w:cs="Arial"/>
          <w:sz w:val="22"/>
          <w:szCs w:val="22"/>
        </w:rPr>
        <w:t>w przypadku wystąpienia awarii krytycznej (nieprawidłowe działanie uniemożliwiające automatyczną pracę co najmniej jednej pompy ściekowej lub brak komunikacji z systemem SCADA przez okres dłuższy niż 60 minut) – do podjęcia usuwania skutków awarii lub usterki w ciągu 12 godzin od chwili zgłoszenia i zakończenia usuwania ich skutków nie później niż w ciągu 3 dni od dnia zgłoszenia,</w:t>
      </w:r>
    </w:p>
    <w:p w14:paraId="7CB0774B" w14:textId="0449B8C7" w:rsidR="00F46FAD" w:rsidRDefault="00F46FAD" w:rsidP="00F46FAD">
      <w:pPr>
        <w:rPr>
          <w:rFonts w:ascii="Arial" w:hAnsi="Arial" w:cs="Arial"/>
          <w:sz w:val="22"/>
          <w:szCs w:val="22"/>
        </w:rPr>
      </w:pPr>
      <w:r w:rsidRPr="00F46FAD">
        <w:rPr>
          <w:rFonts w:ascii="Arial" w:hAnsi="Arial" w:cs="Arial"/>
          <w:sz w:val="22"/>
          <w:szCs w:val="22"/>
        </w:rPr>
        <w:t>•</w:t>
      </w:r>
      <w:r>
        <w:rPr>
          <w:rFonts w:ascii="Arial" w:hAnsi="Arial" w:cs="Arial"/>
          <w:sz w:val="22"/>
          <w:szCs w:val="22"/>
        </w:rPr>
        <w:t xml:space="preserve"> </w:t>
      </w:r>
      <w:r w:rsidRPr="00F46FAD">
        <w:rPr>
          <w:rFonts w:ascii="Arial" w:hAnsi="Arial" w:cs="Arial"/>
          <w:sz w:val="22"/>
          <w:szCs w:val="22"/>
        </w:rPr>
        <w:t>w przypadku wystąpienia pozostałych usterek (nieprawidłowe działanie urządzeń utrudniające ich funkcjonowanie) – do ich usunięcia w terminie nie dłuższym niż 5 dni kalendarzowych od dnia zgłoszenia.</w:t>
      </w:r>
    </w:p>
    <w:p w14:paraId="5CB518FF" w14:textId="77777777" w:rsidR="00F46FAD" w:rsidRPr="00F46FAD" w:rsidRDefault="00F46FAD" w:rsidP="00F46FAD">
      <w:pPr>
        <w:rPr>
          <w:rFonts w:ascii="Arial" w:hAnsi="Arial" w:cs="Arial"/>
          <w:sz w:val="22"/>
          <w:szCs w:val="22"/>
        </w:rPr>
      </w:pPr>
    </w:p>
    <w:p w14:paraId="18DD76F4" w14:textId="77777777" w:rsidR="00F46FAD" w:rsidRPr="00F46FAD" w:rsidRDefault="00F46FAD" w:rsidP="00F46FAD">
      <w:pPr>
        <w:rPr>
          <w:rFonts w:ascii="Arial" w:hAnsi="Arial" w:cs="Arial"/>
          <w:sz w:val="22"/>
          <w:szCs w:val="22"/>
        </w:rPr>
      </w:pPr>
      <w:r w:rsidRPr="00F46FAD">
        <w:rPr>
          <w:rFonts w:ascii="Arial" w:hAnsi="Arial" w:cs="Arial"/>
          <w:sz w:val="22"/>
          <w:szCs w:val="22"/>
        </w:rPr>
        <w:t>Do czasu zakończenia usuwania skutków awarii krytycznej Wykonawca zobowiązany jest zapewnić – we współpracy z Zamawiającym – możliwość pracy przepompowni w trybie ręcznym lub na sterowniku zapasowym, tak aby nie doszło do przerwania odbioru ścieków.</w:t>
      </w:r>
    </w:p>
    <w:p w14:paraId="7456A1C4" w14:textId="0329281D" w:rsidR="00EE6504" w:rsidRPr="00EE6504" w:rsidRDefault="00F46FAD" w:rsidP="00F46FAD">
      <w:pPr>
        <w:rPr>
          <w:rFonts w:ascii="Arial" w:hAnsi="Arial" w:cs="Arial"/>
          <w:sz w:val="22"/>
          <w:szCs w:val="22"/>
        </w:rPr>
      </w:pPr>
      <w:r w:rsidRPr="00F46FAD">
        <w:rPr>
          <w:rFonts w:ascii="Arial" w:hAnsi="Arial" w:cs="Arial"/>
          <w:sz w:val="22"/>
          <w:szCs w:val="22"/>
        </w:rPr>
        <w:t>Dopuszcza się prowadzenie diagnostyki zdalnej po uzyskaniu każdorazowej zgody Zamawiającego. Zgody udziela specjalista Automatyki MWiK lub osoba wskazana pisemnie przez Zamawiającego. Sesja diagnostyki zdalnej musi być rejestrowana i udostępniana Zamawiającemu na żądanie.</w:t>
      </w:r>
    </w:p>
    <w:p w14:paraId="3A88E46C" w14:textId="77777777" w:rsidR="00EE6504" w:rsidRPr="00EE6504" w:rsidRDefault="00EE6504" w:rsidP="00EE6504">
      <w:pPr>
        <w:pStyle w:val="Nagwek1"/>
        <w:numPr>
          <w:ilvl w:val="0"/>
          <w:numId w:val="9"/>
        </w:numPr>
        <w:spacing w:after="120" w:line="240" w:lineRule="auto"/>
        <w:jc w:val="both"/>
        <w:rPr>
          <w:rStyle w:val="Pogrubienie"/>
          <w:rFonts w:ascii="Arial" w:hAnsi="Arial" w:cs="Arial"/>
          <w:b w:val="0"/>
          <w:bCs w:val="0"/>
          <w:sz w:val="22"/>
          <w:szCs w:val="22"/>
        </w:rPr>
      </w:pPr>
      <w:bookmarkStart w:id="8" w:name="_Toc231883659"/>
      <w:r w:rsidRPr="00EE6504">
        <w:rPr>
          <w:rFonts w:ascii="Arial" w:hAnsi="Arial" w:cs="Arial"/>
          <w:sz w:val="22"/>
          <w:szCs w:val="22"/>
        </w:rPr>
        <w:t>Wymagania techniczne</w:t>
      </w:r>
      <w:bookmarkEnd w:id="8"/>
    </w:p>
    <w:p w14:paraId="30AFE5C4" w14:textId="77777777" w:rsidR="00EE6504" w:rsidRPr="00EE6504" w:rsidRDefault="00EE6504" w:rsidP="00EE6504">
      <w:pPr>
        <w:pStyle w:val="Akapitzlist"/>
        <w:keepNext/>
        <w:keepLines/>
        <w:numPr>
          <w:ilvl w:val="0"/>
          <w:numId w:val="10"/>
        </w:numPr>
        <w:spacing w:before="120" w:after="120" w:line="240" w:lineRule="auto"/>
        <w:contextualSpacing w:val="0"/>
        <w:jc w:val="both"/>
        <w:outlineLvl w:val="1"/>
        <w:rPr>
          <w:rFonts w:ascii="Arial" w:eastAsiaTheme="majorEastAsia" w:hAnsi="Arial" w:cs="Arial"/>
          <w:b/>
          <w:vanish/>
          <w:sz w:val="22"/>
          <w:szCs w:val="22"/>
        </w:rPr>
      </w:pPr>
      <w:bookmarkStart w:id="9" w:name="_Toc230264075"/>
      <w:bookmarkStart w:id="10" w:name="_Toc230264940"/>
      <w:bookmarkStart w:id="11" w:name="_Toc230602488"/>
      <w:bookmarkStart w:id="12" w:name="_Toc230611391"/>
      <w:bookmarkStart w:id="13" w:name="_Toc230611424"/>
      <w:bookmarkStart w:id="14" w:name="_Toc230857927"/>
      <w:bookmarkStart w:id="15" w:name="_Toc230858143"/>
      <w:bookmarkStart w:id="16" w:name="_Toc230862587"/>
      <w:bookmarkStart w:id="17" w:name="_Toc230862605"/>
      <w:bookmarkStart w:id="18" w:name="_Toc230947256"/>
      <w:bookmarkStart w:id="19" w:name="_Toc230951372"/>
      <w:bookmarkStart w:id="20" w:name="_Toc230953689"/>
      <w:bookmarkStart w:id="21" w:name="_Toc231210997"/>
      <w:bookmarkStart w:id="22" w:name="_Toc231211030"/>
      <w:bookmarkStart w:id="23" w:name="_Toc231292700"/>
      <w:bookmarkStart w:id="24" w:name="_Toc231883633"/>
      <w:bookmarkStart w:id="25" w:name="_Toc23188366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70E6492" w14:textId="77777777" w:rsidR="00EE6504" w:rsidRPr="00EE6504" w:rsidRDefault="00EE6504" w:rsidP="00EE6504">
      <w:pPr>
        <w:pStyle w:val="Akapitzlist"/>
        <w:keepNext/>
        <w:keepLines/>
        <w:numPr>
          <w:ilvl w:val="0"/>
          <w:numId w:val="10"/>
        </w:numPr>
        <w:spacing w:before="120" w:after="120" w:line="240" w:lineRule="auto"/>
        <w:contextualSpacing w:val="0"/>
        <w:jc w:val="both"/>
        <w:outlineLvl w:val="1"/>
        <w:rPr>
          <w:rFonts w:ascii="Arial" w:eastAsiaTheme="majorEastAsia" w:hAnsi="Arial" w:cs="Arial"/>
          <w:b/>
          <w:vanish/>
          <w:sz w:val="22"/>
          <w:szCs w:val="22"/>
        </w:rPr>
      </w:pPr>
      <w:bookmarkStart w:id="26" w:name="_Toc230264076"/>
      <w:bookmarkStart w:id="27" w:name="_Toc230264941"/>
      <w:bookmarkStart w:id="28" w:name="_Toc230602489"/>
      <w:bookmarkStart w:id="29" w:name="_Toc230611392"/>
      <w:bookmarkStart w:id="30" w:name="_Toc230611425"/>
      <w:bookmarkStart w:id="31" w:name="_Toc230857928"/>
      <w:bookmarkStart w:id="32" w:name="_Toc230858144"/>
      <w:bookmarkStart w:id="33" w:name="_Toc230862588"/>
      <w:bookmarkStart w:id="34" w:name="_Toc230862606"/>
      <w:bookmarkStart w:id="35" w:name="_Toc230947257"/>
      <w:bookmarkStart w:id="36" w:name="_Toc230951373"/>
      <w:bookmarkStart w:id="37" w:name="_Toc230953690"/>
      <w:bookmarkStart w:id="38" w:name="_Toc231210998"/>
      <w:bookmarkStart w:id="39" w:name="_Toc231211031"/>
      <w:bookmarkStart w:id="40" w:name="_Toc231292701"/>
      <w:bookmarkStart w:id="41" w:name="_Toc231883634"/>
      <w:bookmarkStart w:id="42" w:name="_Toc231883661"/>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E35231C" w14:textId="77777777" w:rsidR="00EE6504" w:rsidRPr="00EE6504" w:rsidRDefault="00EE6504" w:rsidP="00EE6504">
      <w:pPr>
        <w:pStyle w:val="Nagwek2"/>
        <w:numPr>
          <w:ilvl w:val="1"/>
          <w:numId w:val="10"/>
        </w:numPr>
        <w:spacing w:before="360" w:after="120" w:line="240" w:lineRule="auto"/>
        <w:jc w:val="both"/>
        <w:rPr>
          <w:rFonts w:ascii="Arial" w:hAnsi="Arial" w:cs="Arial"/>
          <w:sz w:val="22"/>
          <w:szCs w:val="22"/>
        </w:rPr>
      </w:pPr>
      <w:bookmarkStart w:id="43" w:name="_Toc231883662"/>
      <w:r w:rsidRPr="00EE6504">
        <w:rPr>
          <w:rFonts w:ascii="Arial" w:hAnsi="Arial" w:cs="Arial"/>
          <w:sz w:val="22"/>
          <w:szCs w:val="22"/>
        </w:rPr>
        <w:t>Materiał dostarczany przez Zamawiającego</w:t>
      </w:r>
      <w:bookmarkEnd w:id="43"/>
    </w:p>
    <w:p w14:paraId="4790BC7E" w14:textId="77777777" w:rsidR="00EE6504" w:rsidRPr="00EE6504" w:rsidRDefault="00EE6504" w:rsidP="00EE6504">
      <w:pPr>
        <w:rPr>
          <w:rFonts w:ascii="Arial" w:hAnsi="Arial" w:cs="Arial"/>
          <w:sz w:val="22"/>
          <w:szCs w:val="22"/>
        </w:rPr>
      </w:pPr>
      <w:r w:rsidRPr="00EE6504">
        <w:rPr>
          <w:rFonts w:ascii="Arial" w:hAnsi="Arial" w:cs="Arial"/>
          <w:sz w:val="22"/>
          <w:szCs w:val="22"/>
        </w:rPr>
        <w:t xml:space="preserve">Zamawiający dostarczy sterownik PLC SIMATIC S7-1500 / CPU 1513-1 PN wraz z podstawowymi modułami wejść i wyjść cyfrowych oraz analogowych systemu ET 200MP wraz z kartą pamięci SIMATIC Memory Card kompatybilną z CPU i zasilaczem: </w:t>
      </w:r>
    </w:p>
    <w:p w14:paraId="169C0704"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Sterownik PLC – 6ES7513-1AM03-0AB0, 2 szt.,</w:t>
      </w:r>
    </w:p>
    <w:p w14:paraId="7AC5E4BD"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Karta pamięci SIMATIC MEMORY CARD – 6ES7954-8LF04-0AA0, sztuk 2,</w:t>
      </w:r>
    </w:p>
    <w:p w14:paraId="14E52105"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Zasilacz standardowy PM 1507 – 6EP1332-4BA00, sztuk 2,</w:t>
      </w:r>
    </w:p>
    <w:p w14:paraId="3530881F"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lastRenderedPageBreak/>
        <w:t>Moduł interfejsu PROFINET IM 155-6 PN ST – 6ES7155-6AA02-0BN0, sztuk 2,</w:t>
      </w:r>
    </w:p>
    <w:p w14:paraId="21E2D5CB"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bookmarkStart w:id="44" w:name="_Hlk214278565"/>
      <w:r w:rsidRPr="00EE6504">
        <w:rPr>
          <w:rFonts w:ascii="Arial" w:hAnsi="Arial" w:cs="Arial"/>
          <w:sz w:val="22"/>
          <w:szCs w:val="22"/>
        </w:rPr>
        <w:t xml:space="preserve">Moduł wejść binarnych – </w:t>
      </w:r>
      <w:bookmarkEnd w:id="44"/>
      <w:r w:rsidRPr="00EE6504">
        <w:rPr>
          <w:rFonts w:ascii="Arial" w:hAnsi="Arial" w:cs="Arial"/>
          <w:sz w:val="22"/>
          <w:szCs w:val="22"/>
        </w:rPr>
        <w:t>6ES7131-6BH01-0BA0, sztuk 10,</w:t>
      </w:r>
    </w:p>
    <w:p w14:paraId="16309FFF"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Moduł wyjść binarnych – 6ES7132-6BH01-0BA0, sztuk 10,</w:t>
      </w:r>
    </w:p>
    <w:p w14:paraId="6276A58B"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M</w:t>
      </w:r>
      <w:bookmarkStart w:id="45" w:name="_Hlk214355554"/>
      <w:r w:rsidRPr="00EE6504">
        <w:rPr>
          <w:rFonts w:ascii="Arial" w:hAnsi="Arial" w:cs="Arial"/>
          <w:sz w:val="22"/>
          <w:szCs w:val="22"/>
        </w:rPr>
        <w:t xml:space="preserve">oduł wejść analogowych – </w:t>
      </w:r>
      <w:bookmarkEnd w:id="45"/>
      <w:r w:rsidRPr="00EE6504">
        <w:rPr>
          <w:rFonts w:ascii="Arial" w:hAnsi="Arial" w:cs="Arial"/>
          <w:sz w:val="22"/>
          <w:szCs w:val="22"/>
        </w:rPr>
        <w:t>6ES7134-6HD01-0BA1, sztuk 5,</w:t>
      </w:r>
    </w:p>
    <w:p w14:paraId="7CB9B044"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Moduł wyjść analogowych – 6ES7135-6HD00-0BA1, sztuk 3,</w:t>
      </w:r>
    </w:p>
    <w:p w14:paraId="7AAC1AAF"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Moduł komunikacji szeregowej – 6ES7137-6AA01-0BA0, sztuk 3,</w:t>
      </w:r>
    </w:p>
    <w:p w14:paraId="3788A0B0"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Podstawka do modułów rozszerzeń – 6ES7193-6BP00-0DA0, sztuk 11,</w:t>
      </w:r>
    </w:p>
    <w:p w14:paraId="0F89562F"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Podstawka do modułów rozszerzeń – 6ES7193-6BP00-0BA0, sztuk 17,</w:t>
      </w:r>
    </w:p>
    <w:p w14:paraId="22BBFF2D" w14:textId="77777777" w:rsidR="00EE6504" w:rsidRPr="00EE6504" w:rsidRDefault="00EE6504" w:rsidP="00EE6504">
      <w:pPr>
        <w:pStyle w:val="Akapitzlist"/>
        <w:numPr>
          <w:ilvl w:val="0"/>
          <w:numId w:val="21"/>
        </w:numPr>
        <w:spacing w:line="240" w:lineRule="auto"/>
        <w:jc w:val="both"/>
        <w:rPr>
          <w:rFonts w:ascii="Arial" w:hAnsi="Arial" w:cs="Arial"/>
          <w:sz w:val="22"/>
          <w:szCs w:val="22"/>
        </w:rPr>
      </w:pPr>
      <w:r w:rsidRPr="00EE6504">
        <w:rPr>
          <w:rFonts w:ascii="Arial" w:hAnsi="Arial" w:cs="Arial"/>
          <w:sz w:val="22"/>
          <w:szCs w:val="22"/>
        </w:rPr>
        <w:t>Panel HMI – 6AV2123-3MB32-0AW0, sztuk 2.</w:t>
      </w:r>
    </w:p>
    <w:p w14:paraId="21391A5F" w14:textId="77777777" w:rsidR="00EE6504" w:rsidRPr="00EE6504" w:rsidRDefault="00EE6504" w:rsidP="00EE6504">
      <w:pPr>
        <w:rPr>
          <w:rFonts w:ascii="Arial" w:hAnsi="Arial" w:cs="Arial"/>
          <w:sz w:val="22"/>
          <w:szCs w:val="22"/>
        </w:rPr>
      </w:pPr>
      <w:r w:rsidRPr="00EE6504">
        <w:rPr>
          <w:rFonts w:ascii="Arial" w:hAnsi="Arial" w:cs="Arial"/>
          <w:sz w:val="22"/>
          <w:szCs w:val="22"/>
        </w:rPr>
        <w:t>Wykonawca zobowiązany jest do:</w:t>
      </w:r>
    </w:p>
    <w:p w14:paraId="26B56AC2" w14:textId="77777777" w:rsidR="00EE6504" w:rsidRPr="00EE6504" w:rsidRDefault="00EE6504" w:rsidP="00EE6504">
      <w:pPr>
        <w:pStyle w:val="Akapitzlist"/>
        <w:numPr>
          <w:ilvl w:val="0"/>
          <w:numId w:val="20"/>
        </w:numPr>
        <w:spacing w:line="240" w:lineRule="auto"/>
        <w:jc w:val="both"/>
        <w:rPr>
          <w:rFonts w:ascii="Arial" w:hAnsi="Arial" w:cs="Arial"/>
          <w:sz w:val="22"/>
          <w:szCs w:val="22"/>
        </w:rPr>
      </w:pPr>
      <w:r w:rsidRPr="00EE6504">
        <w:rPr>
          <w:rFonts w:ascii="Arial" w:hAnsi="Arial" w:cs="Arial"/>
          <w:sz w:val="22"/>
          <w:szCs w:val="22"/>
        </w:rPr>
        <w:t>montażu sterownika i innych niezbędnych dostarczonych materiałów,</w:t>
      </w:r>
    </w:p>
    <w:p w14:paraId="18CD4974" w14:textId="77777777" w:rsidR="00EE6504" w:rsidRPr="00EE6504" w:rsidRDefault="00EE6504" w:rsidP="00EE6504">
      <w:pPr>
        <w:pStyle w:val="Akapitzlist"/>
        <w:numPr>
          <w:ilvl w:val="0"/>
          <w:numId w:val="20"/>
        </w:numPr>
        <w:spacing w:line="240" w:lineRule="auto"/>
        <w:jc w:val="both"/>
        <w:rPr>
          <w:rFonts w:ascii="Arial" w:hAnsi="Arial" w:cs="Arial"/>
          <w:sz w:val="22"/>
          <w:szCs w:val="22"/>
        </w:rPr>
      </w:pPr>
      <w:r w:rsidRPr="00EE6504">
        <w:rPr>
          <w:rFonts w:ascii="Arial" w:hAnsi="Arial" w:cs="Arial"/>
          <w:sz w:val="22"/>
          <w:szCs w:val="22"/>
        </w:rPr>
        <w:t>przekazania Zamawiającemu pozostałych urządzeń,</w:t>
      </w:r>
    </w:p>
    <w:p w14:paraId="1687AABB" w14:textId="77777777" w:rsidR="00EE6504" w:rsidRPr="00EE6504" w:rsidRDefault="00EE6504" w:rsidP="00EE6504">
      <w:pPr>
        <w:pStyle w:val="Akapitzlist"/>
        <w:numPr>
          <w:ilvl w:val="0"/>
          <w:numId w:val="20"/>
        </w:numPr>
        <w:spacing w:line="240" w:lineRule="auto"/>
        <w:jc w:val="both"/>
        <w:rPr>
          <w:rFonts w:ascii="Arial" w:hAnsi="Arial" w:cs="Arial"/>
          <w:sz w:val="22"/>
          <w:szCs w:val="22"/>
        </w:rPr>
      </w:pPr>
      <w:r w:rsidRPr="00EE6504">
        <w:rPr>
          <w:rFonts w:ascii="Arial" w:hAnsi="Arial" w:cs="Arial"/>
          <w:sz w:val="22"/>
          <w:szCs w:val="22"/>
        </w:rPr>
        <w:t>konfiguracji i zaprogramowania układu sterowania,</w:t>
      </w:r>
    </w:p>
    <w:p w14:paraId="6DAD7543" w14:textId="77777777" w:rsidR="00EE6504" w:rsidRPr="00EE6504" w:rsidRDefault="00EE6504" w:rsidP="00EE6504">
      <w:pPr>
        <w:pStyle w:val="Akapitzlist"/>
        <w:numPr>
          <w:ilvl w:val="0"/>
          <w:numId w:val="20"/>
        </w:numPr>
        <w:spacing w:line="240" w:lineRule="auto"/>
        <w:jc w:val="both"/>
        <w:rPr>
          <w:rFonts w:ascii="Arial" w:hAnsi="Arial" w:cs="Arial"/>
          <w:sz w:val="22"/>
          <w:szCs w:val="22"/>
        </w:rPr>
      </w:pPr>
      <w:r w:rsidRPr="00EE6504">
        <w:rPr>
          <w:rFonts w:ascii="Arial" w:hAnsi="Arial" w:cs="Arial"/>
          <w:sz w:val="22"/>
          <w:szCs w:val="22"/>
        </w:rPr>
        <w:t xml:space="preserve">uruchomienia i integracji z systemem przepompowni oraz SCADA (przez wystawienie odpowiednich sygnałów i rejestrów </w:t>
      </w:r>
      <w:proofErr w:type="spellStart"/>
      <w:r w:rsidRPr="00EE6504">
        <w:rPr>
          <w:rFonts w:ascii="Arial" w:hAnsi="Arial" w:cs="Arial"/>
          <w:sz w:val="22"/>
          <w:szCs w:val="22"/>
        </w:rPr>
        <w:t>Modbus</w:t>
      </w:r>
      <w:proofErr w:type="spellEnd"/>
      <w:r w:rsidRPr="00EE6504">
        <w:rPr>
          <w:rFonts w:ascii="Arial" w:hAnsi="Arial" w:cs="Arial"/>
          <w:sz w:val="22"/>
          <w:szCs w:val="22"/>
        </w:rPr>
        <w:t>, do uzgodnienia z przedstawicielem Zamawiającego).</w:t>
      </w:r>
    </w:p>
    <w:p w14:paraId="3278876C" w14:textId="77777777" w:rsidR="00EE6504" w:rsidRPr="00EE6504" w:rsidRDefault="00EE6504" w:rsidP="00EE6504">
      <w:pPr>
        <w:rPr>
          <w:rFonts w:ascii="Arial" w:hAnsi="Arial" w:cs="Arial"/>
          <w:sz w:val="22"/>
          <w:szCs w:val="22"/>
        </w:rPr>
      </w:pPr>
      <w:r w:rsidRPr="00EE6504">
        <w:rPr>
          <w:rFonts w:ascii="Arial" w:hAnsi="Arial" w:cs="Arial"/>
          <w:sz w:val="22"/>
          <w:szCs w:val="22"/>
        </w:rPr>
        <w:t>W przypadku konieczności zastosowania dodatkowych elementów systemu, ich dostawa leży po stronie Wykonawcy.</w:t>
      </w:r>
    </w:p>
    <w:p w14:paraId="54F00C48" w14:textId="77777777" w:rsidR="00EE6504" w:rsidRPr="00EE6504" w:rsidRDefault="00EE6504" w:rsidP="00EE6504">
      <w:pPr>
        <w:rPr>
          <w:rFonts w:ascii="Arial" w:hAnsi="Arial" w:cs="Arial"/>
          <w:sz w:val="22"/>
          <w:szCs w:val="22"/>
        </w:rPr>
      </w:pPr>
      <w:r w:rsidRPr="00EE6504">
        <w:rPr>
          <w:rFonts w:ascii="Arial" w:hAnsi="Arial" w:cs="Arial"/>
          <w:sz w:val="22"/>
          <w:szCs w:val="22"/>
        </w:rPr>
        <w:t>Wykonawca zobowiązany jest do weryfikacji kompletności dostarczonego sprzętu przed rozpoczęciem prac.</w:t>
      </w:r>
    </w:p>
    <w:p w14:paraId="1813FC07" w14:textId="77777777" w:rsidR="00EE6504" w:rsidRPr="00EE6504" w:rsidRDefault="00EE6504" w:rsidP="00EE6504">
      <w:pPr>
        <w:rPr>
          <w:rFonts w:ascii="Arial" w:hAnsi="Arial" w:cs="Arial"/>
          <w:sz w:val="22"/>
          <w:szCs w:val="22"/>
        </w:rPr>
      </w:pPr>
      <w:r w:rsidRPr="00EE6504">
        <w:rPr>
          <w:rFonts w:ascii="Arial" w:hAnsi="Arial" w:cs="Arial"/>
          <w:sz w:val="22"/>
          <w:szCs w:val="22"/>
        </w:rPr>
        <w:t>Wykonawca zobowiązany jest do weryfikacji kompletności dostarczonego sprzętu w terminie 5 dni roboczych od dnia jego przekazania i pisemnego zgłoszenia wszelkich uwag lub braków Zamawiającemu w tym terminie. Wykonawca nie może zgłaszać roszczeń wynikających z niekompletności sprzętu, jeżeli nie zgłosił uwag w powyższym terminie.</w:t>
      </w:r>
    </w:p>
    <w:p w14:paraId="51B85229" w14:textId="77777777" w:rsidR="00EE6504" w:rsidRPr="00EE6504" w:rsidRDefault="00EE6504" w:rsidP="00EE6504">
      <w:pPr>
        <w:rPr>
          <w:rFonts w:ascii="Arial" w:hAnsi="Arial" w:cs="Arial"/>
          <w:sz w:val="22"/>
          <w:szCs w:val="22"/>
        </w:rPr>
      </w:pPr>
      <w:r w:rsidRPr="00EE6504">
        <w:rPr>
          <w:rFonts w:ascii="Arial" w:hAnsi="Arial" w:cs="Arial"/>
          <w:sz w:val="22"/>
          <w:szCs w:val="22"/>
        </w:rPr>
        <w:t>Wykonawca ponosi pełną odpowiedzialność za prawidłowe działanie systemu po jego uruchomieniu.</w:t>
      </w:r>
    </w:p>
    <w:p w14:paraId="2734E2E3" w14:textId="77777777" w:rsidR="00EE6504" w:rsidRPr="00EE6504" w:rsidRDefault="00EE6504" w:rsidP="00EE6504">
      <w:pPr>
        <w:rPr>
          <w:rFonts w:ascii="Arial" w:hAnsi="Arial" w:cs="Arial"/>
          <w:sz w:val="22"/>
          <w:szCs w:val="22"/>
        </w:rPr>
      </w:pPr>
      <w:r w:rsidRPr="00EE6504">
        <w:rPr>
          <w:rFonts w:ascii="Arial" w:hAnsi="Arial" w:cs="Arial"/>
          <w:sz w:val="22"/>
          <w:szCs w:val="22"/>
        </w:rPr>
        <w:t>Sterownik PLC zapasowy oraz panel operatorski HMI zapasowy muszą zostać skonfigurowane, zaprogramowane i przetestowane w sposób identyczny jak urządzenia przeznaczone do pracy na obiekcie. Wykonawca zobowiązany jest do:</w:t>
      </w:r>
    </w:p>
    <w:p w14:paraId="32F0D8D6"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wgrania aktualnej wersji programu PLC na sterownik zapasowy,</w:t>
      </w:r>
    </w:p>
    <w:p w14:paraId="5CBB5053"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wgrania aktualnej wersji projektu HMI na panel operatorski zapasowy,</w:t>
      </w:r>
    </w:p>
    <w:p w14:paraId="19055E0A"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ustawienia wszystkich parametrów komunikacyjnych,</w:t>
      </w:r>
    </w:p>
    <w:p w14:paraId="7DF56FF5"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 xml:space="preserve">zapewnienia zgodności wersji </w:t>
      </w:r>
      <w:proofErr w:type="spellStart"/>
      <w:r w:rsidRPr="00EE6504">
        <w:rPr>
          <w:rFonts w:ascii="Arial" w:hAnsi="Arial" w:cs="Arial"/>
          <w:sz w:val="22"/>
          <w:szCs w:val="22"/>
        </w:rPr>
        <w:t>firmware</w:t>
      </w:r>
      <w:proofErr w:type="spellEnd"/>
      <w:r w:rsidRPr="00EE6504">
        <w:rPr>
          <w:rFonts w:ascii="Arial" w:hAnsi="Arial" w:cs="Arial"/>
          <w:sz w:val="22"/>
          <w:szCs w:val="22"/>
        </w:rPr>
        <w:t xml:space="preserve"> urządzenia zapasowego z wersją urządzenia roboczego,</w:t>
      </w:r>
    </w:p>
    <w:p w14:paraId="4BD51166"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wykonania kopii bezpieczeństwa programu PLC i projektu HMI na kartach pamięci SIMATIC Memory Card dla obu egzemplarzy.</w:t>
      </w:r>
    </w:p>
    <w:p w14:paraId="48095896" w14:textId="77777777" w:rsidR="00EE6504" w:rsidRPr="00EE6504" w:rsidRDefault="00EE6504" w:rsidP="00EE6504">
      <w:pPr>
        <w:rPr>
          <w:rFonts w:ascii="Arial" w:hAnsi="Arial" w:cs="Arial"/>
          <w:sz w:val="22"/>
          <w:szCs w:val="22"/>
        </w:rPr>
      </w:pPr>
      <w:r w:rsidRPr="00EE6504">
        <w:rPr>
          <w:rFonts w:ascii="Arial" w:hAnsi="Arial" w:cs="Arial"/>
          <w:sz w:val="22"/>
          <w:szCs w:val="22"/>
        </w:rPr>
        <w:t>Urządzenia zapasowe muszą zostać przekazane Zamawiającemu jako kompletne i gotowe do natychmiastowego wdrożenia na obiekcie.</w:t>
      </w:r>
    </w:p>
    <w:p w14:paraId="299846DD" w14:textId="77777777" w:rsidR="00EE6504" w:rsidRPr="00EE6504" w:rsidRDefault="00EE6504" w:rsidP="00EE6504">
      <w:pPr>
        <w:pStyle w:val="Nagwek2"/>
        <w:numPr>
          <w:ilvl w:val="1"/>
          <w:numId w:val="10"/>
        </w:numPr>
        <w:spacing w:before="360" w:after="120" w:line="240" w:lineRule="auto"/>
        <w:jc w:val="both"/>
        <w:rPr>
          <w:rFonts w:ascii="Arial" w:hAnsi="Arial" w:cs="Arial"/>
          <w:sz w:val="22"/>
          <w:szCs w:val="22"/>
        </w:rPr>
      </w:pPr>
      <w:bookmarkStart w:id="46" w:name="_Toc231883663"/>
      <w:r w:rsidRPr="00EE6504">
        <w:rPr>
          <w:rFonts w:ascii="Arial" w:hAnsi="Arial" w:cs="Arial"/>
          <w:sz w:val="22"/>
          <w:szCs w:val="22"/>
        </w:rPr>
        <w:t>Wymagania dotyczące migracji oprogramowania</w:t>
      </w:r>
      <w:bookmarkEnd w:id="46"/>
    </w:p>
    <w:p w14:paraId="51E353FE" w14:textId="77777777" w:rsidR="00EE6504" w:rsidRPr="00EE6504" w:rsidRDefault="00EE6504" w:rsidP="00EE6504">
      <w:pPr>
        <w:pStyle w:val="Nagwek3"/>
        <w:numPr>
          <w:ilvl w:val="2"/>
          <w:numId w:val="10"/>
        </w:numPr>
        <w:spacing w:before="240" w:after="120" w:line="240" w:lineRule="auto"/>
        <w:jc w:val="both"/>
        <w:rPr>
          <w:rFonts w:ascii="Arial" w:hAnsi="Arial" w:cs="Arial"/>
          <w:sz w:val="22"/>
          <w:szCs w:val="22"/>
        </w:rPr>
      </w:pPr>
      <w:bookmarkStart w:id="47" w:name="_Toc231883664"/>
      <w:r w:rsidRPr="00EE6504">
        <w:rPr>
          <w:rFonts w:ascii="Arial" w:hAnsi="Arial" w:cs="Arial"/>
          <w:sz w:val="22"/>
          <w:szCs w:val="22"/>
        </w:rPr>
        <w:t>Inwentaryzacja</w:t>
      </w:r>
      <w:bookmarkEnd w:id="47"/>
    </w:p>
    <w:p w14:paraId="191A0A99" w14:textId="77777777" w:rsidR="00EE6504" w:rsidRPr="00EE6504" w:rsidRDefault="00EE6504" w:rsidP="00EE6504">
      <w:pPr>
        <w:rPr>
          <w:rFonts w:ascii="Arial" w:hAnsi="Arial" w:cs="Arial"/>
          <w:sz w:val="22"/>
          <w:szCs w:val="22"/>
        </w:rPr>
      </w:pPr>
      <w:r w:rsidRPr="00EE6504">
        <w:rPr>
          <w:rFonts w:ascii="Arial" w:hAnsi="Arial" w:cs="Arial"/>
          <w:sz w:val="22"/>
          <w:szCs w:val="22"/>
        </w:rPr>
        <w:t>Wynikiem inwentaryzacji i uzgodnień musi być dokument SOF – Szczegółowy Opis Funkcjonalny, który stanowi nadrzędny dokument programistyczny.</w:t>
      </w:r>
    </w:p>
    <w:p w14:paraId="17154276" w14:textId="77777777" w:rsidR="00EE6504" w:rsidRPr="00EE6504" w:rsidRDefault="00EE6504" w:rsidP="00EE6504">
      <w:pPr>
        <w:rPr>
          <w:rFonts w:ascii="Arial" w:hAnsi="Arial" w:cs="Arial"/>
          <w:sz w:val="22"/>
          <w:szCs w:val="22"/>
        </w:rPr>
      </w:pPr>
      <w:r w:rsidRPr="00EE6504">
        <w:rPr>
          <w:rFonts w:ascii="Arial" w:hAnsi="Arial" w:cs="Arial"/>
          <w:sz w:val="22"/>
          <w:szCs w:val="22"/>
        </w:rPr>
        <w:t>SOF musi zawierać co najmniej:</w:t>
      </w:r>
    </w:p>
    <w:p w14:paraId="25A36928" w14:textId="77777777" w:rsidR="00EE6504" w:rsidRPr="00EE6504" w:rsidRDefault="00EE6504" w:rsidP="00EE6504">
      <w:pPr>
        <w:pStyle w:val="Akapitzlist"/>
        <w:numPr>
          <w:ilvl w:val="0"/>
          <w:numId w:val="19"/>
        </w:numPr>
        <w:spacing w:after="0" w:line="240" w:lineRule="auto"/>
        <w:jc w:val="both"/>
        <w:rPr>
          <w:rFonts w:ascii="Arial" w:hAnsi="Arial" w:cs="Arial"/>
          <w:sz w:val="22"/>
          <w:szCs w:val="22"/>
        </w:rPr>
      </w:pPr>
      <w:r w:rsidRPr="00EE6504">
        <w:rPr>
          <w:rFonts w:ascii="Arial" w:hAnsi="Arial" w:cs="Arial"/>
          <w:sz w:val="22"/>
          <w:szCs w:val="22"/>
        </w:rPr>
        <w:t>Opis logiczny pracy obiektu.</w:t>
      </w:r>
    </w:p>
    <w:p w14:paraId="0905F788" w14:textId="77777777" w:rsidR="00EE6504" w:rsidRPr="00EE6504" w:rsidRDefault="00EE6504" w:rsidP="00EE6504">
      <w:pPr>
        <w:pStyle w:val="Akapitzlist"/>
        <w:numPr>
          <w:ilvl w:val="0"/>
          <w:numId w:val="19"/>
        </w:numPr>
        <w:spacing w:after="0" w:line="240" w:lineRule="auto"/>
        <w:jc w:val="both"/>
        <w:rPr>
          <w:rFonts w:ascii="Arial" w:hAnsi="Arial" w:cs="Arial"/>
          <w:sz w:val="22"/>
          <w:szCs w:val="22"/>
        </w:rPr>
      </w:pPr>
      <w:r w:rsidRPr="00EE6504">
        <w:rPr>
          <w:rFonts w:ascii="Arial" w:hAnsi="Arial" w:cs="Arial"/>
          <w:sz w:val="22"/>
          <w:szCs w:val="22"/>
        </w:rPr>
        <w:t>Warunki startu i zatrzymania.</w:t>
      </w:r>
    </w:p>
    <w:p w14:paraId="44F5C145" w14:textId="77777777" w:rsidR="00EE6504" w:rsidRPr="00EE6504" w:rsidRDefault="00EE6504" w:rsidP="00EE6504">
      <w:pPr>
        <w:pStyle w:val="Akapitzlist"/>
        <w:numPr>
          <w:ilvl w:val="0"/>
          <w:numId w:val="19"/>
        </w:numPr>
        <w:spacing w:after="0" w:line="240" w:lineRule="auto"/>
        <w:jc w:val="both"/>
        <w:rPr>
          <w:rFonts w:ascii="Arial" w:hAnsi="Arial" w:cs="Arial"/>
          <w:sz w:val="22"/>
          <w:szCs w:val="22"/>
        </w:rPr>
      </w:pPr>
      <w:r w:rsidRPr="00EE6504">
        <w:rPr>
          <w:rFonts w:ascii="Arial" w:hAnsi="Arial" w:cs="Arial"/>
          <w:sz w:val="22"/>
          <w:szCs w:val="22"/>
        </w:rPr>
        <w:t xml:space="preserve">Macierz blokad i </w:t>
      </w:r>
      <w:proofErr w:type="spellStart"/>
      <w:r w:rsidRPr="00EE6504">
        <w:rPr>
          <w:rFonts w:ascii="Arial" w:hAnsi="Arial" w:cs="Arial"/>
          <w:sz w:val="22"/>
          <w:szCs w:val="22"/>
        </w:rPr>
        <w:t>interlocków</w:t>
      </w:r>
      <w:proofErr w:type="spellEnd"/>
      <w:r w:rsidRPr="00EE6504">
        <w:rPr>
          <w:rFonts w:ascii="Arial" w:hAnsi="Arial" w:cs="Arial"/>
          <w:sz w:val="22"/>
          <w:szCs w:val="22"/>
        </w:rPr>
        <w:t>.</w:t>
      </w:r>
    </w:p>
    <w:p w14:paraId="23045BFE" w14:textId="77777777" w:rsidR="00EE6504" w:rsidRPr="00EE6504" w:rsidRDefault="00EE6504" w:rsidP="00EE6504">
      <w:pPr>
        <w:pStyle w:val="Akapitzlist"/>
        <w:numPr>
          <w:ilvl w:val="0"/>
          <w:numId w:val="19"/>
        </w:numPr>
        <w:spacing w:after="0" w:line="240" w:lineRule="auto"/>
        <w:jc w:val="both"/>
        <w:rPr>
          <w:rFonts w:ascii="Arial" w:hAnsi="Arial" w:cs="Arial"/>
          <w:sz w:val="22"/>
          <w:szCs w:val="22"/>
        </w:rPr>
      </w:pPr>
      <w:r w:rsidRPr="00EE6504">
        <w:rPr>
          <w:rFonts w:ascii="Arial" w:hAnsi="Arial" w:cs="Arial"/>
          <w:sz w:val="22"/>
          <w:szCs w:val="22"/>
        </w:rPr>
        <w:t>Diagramy stanów lub SFC.</w:t>
      </w:r>
    </w:p>
    <w:p w14:paraId="7949F6A3" w14:textId="77777777" w:rsidR="00EE6504" w:rsidRPr="00EE6504" w:rsidRDefault="00EE6504" w:rsidP="00EE6504">
      <w:pPr>
        <w:pStyle w:val="Akapitzlist"/>
        <w:numPr>
          <w:ilvl w:val="0"/>
          <w:numId w:val="19"/>
        </w:numPr>
        <w:spacing w:after="0" w:line="240" w:lineRule="auto"/>
        <w:jc w:val="both"/>
        <w:rPr>
          <w:rFonts w:ascii="Arial" w:hAnsi="Arial" w:cs="Arial"/>
          <w:sz w:val="22"/>
          <w:szCs w:val="22"/>
        </w:rPr>
      </w:pPr>
      <w:r w:rsidRPr="00EE6504">
        <w:rPr>
          <w:rFonts w:ascii="Arial" w:hAnsi="Arial" w:cs="Arial"/>
          <w:sz w:val="22"/>
          <w:szCs w:val="22"/>
        </w:rPr>
        <w:t>Reakcje na wszystkie stany awaryjne.</w:t>
      </w:r>
    </w:p>
    <w:p w14:paraId="2587C37A" w14:textId="77777777" w:rsidR="00EE6504" w:rsidRPr="00EE6504" w:rsidRDefault="00EE6504" w:rsidP="00EE6504">
      <w:pPr>
        <w:pStyle w:val="Akapitzlist"/>
        <w:numPr>
          <w:ilvl w:val="0"/>
          <w:numId w:val="19"/>
        </w:numPr>
        <w:spacing w:after="0" w:line="240" w:lineRule="auto"/>
        <w:jc w:val="both"/>
        <w:rPr>
          <w:rFonts w:ascii="Arial" w:hAnsi="Arial" w:cs="Arial"/>
          <w:sz w:val="22"/>
          <w:szCs w:val="22"/>
        </w:rPr>
      </w:pPr>
      <w:r w:rsidRPr="00EE6504">
        <w:rPr>
          <w:rFonts w:ascii="Arial" w:hAnsi="Arial" w:cs="Arial"/>
          <w:sz w:val="22"/>
          <w:szCs w:val="22"/>
        </w:rPr>
        <w:t>Opis przejścia do stanu bezpiecznego.</w:t>
      </w:r>
    </w:p>
    <w:p w14:paraId="6462E753" w14:textId="77777777" w:rsidR="00EE6504" w:rsidRPr="00EE6504" w:rsidRDefault="00EE6504" w:rsidP="00EE6504">
      <w:pPr>
        <w:pStyle w:val="Akapitzlist"/>
        <w:numPr>
          <w:ilvl w:val="0"/>
          <w:numId w:val="19"/>
        </w:numPr>
        <w:spacing w:after="0" w:line="240" w:lineRule="auto"/>
        <w:jc w:val="both"/>
        <w:rPr>
          <w:rFonts w:ascii="Arial" w:hAnsi="Arial" w:cs="Arial"/>
          <w:sz w:val="22"/>
          <w:szCs w:val="22"/>
        </w:rPr>
      </w:pPr>
      <w:r w:rsidRPr="00EE6504">
        <w:rPr>
          <w:rFonts w:ascii="Arial" w:hAnsi="Arial" w:cs="Arial"/>
          <w:sz w:val="22"/>
          <w:szCs w:val="22"/>
        </w:rPr>
        <w:lastRenderedPageBreak/>
        <w:t>Listę nastaw i parametrów regulacyjnych.</w:t>
      </w:r>
    </w:p>
    <w:p w14:paraId="41514A59" w14:textId="77777777" w:rsidR="00EE6504" w:rsidRPr="00EE6504" w:rsidRDefault="00EE6504" w:rsidP="00EE6504">
      <w:pPr>
        <w:pStyle w:val="Akapitzlist"/>
        <w:numPr>
          <w:ilvl w:val="0"/>
          <w:numId w:val="19"/>
        </w:numPr>
        <w:spacing w:after="0" w:line="240" w:lineRule="auto"/>
        <w:jc w:val="both"/>
        <w:rPr>
          <w:rFonts w:ascii="Arial" w:hAnsi="Arial" w:cs="Arial"/>
          <w:sz w:val="22"/>
          <w:szCs w:val="22"/>
        </w:rPr>
      </w:pPr>
      <w:r w:rsidRPr="00EE6504">
        <w:rPr>
          <w:rFonts w:ascii="Arial" w:hAnsi="Arial" w:cs="Arial"/>
          <w:sz w:val="22"/>
          <w:szCs w:val="22"/>
        </w:rPr>
        <w:t>Opis trybów pracy.</w:t>
      </w:r>
    </w:p>
    <w:p w14:paraId="669E0116" w14:textId="77777777" w:rsidR="00EE6504" w:rsidRPr="00EE6504" w:rsidRDefault="00EE6504" w:rsidP="00EE6504">
      <w:pPr>
        <w:pStyle w:val="Akapitzlist"/>
        <w:numPr>
          <w:ilvl w:val="0"/>
          <w:numId w:val="19"/>
        </w:numPr>
        <w:spacing w:after="0" w:line="240" w:lineRule="auto"/>
        <w:jc w:val="both"/>
        <w:rPr>
          <w:rFonts w:ascii="Arial" w:hAnsi="Arial" w:cs="Arial"/>
          <w:sz w:val="22"/>
          <w:szCs w:val="22"/>
        </w:rPr>
      </w:pPr>
      <w:r w:rsidRPr="00EE6504">
        <w:rPr>
          <w:rFonts w:ascii="Arial" w:hAnsi="Arial" w:cs="Arial"/>
          <w:sz w:val="22"/>
          <w:szCs w:val="22"/>
        </w:rPr>
        <w:t>Tabela alarmów.</w:t>
      </w:r>
    </w:p>
    <w:p w14:paraId="569C9124" w14:textId="77777777" w:rsidR="00EE6504" w:rsidRPr="00EE6504" w:rsidRDefault="00EE6504" w:rsidP="00EE6504">
      <w:pPr>
        <w:pStyle w:val="Akapitzlist"/>
        <w:numPr>
          <w:ilvl w:val="0"/>
          <w:numId w:val="19"/>
        </w:numPr>
        <w:spacing w:line="240" w:lineRule="auto"/>
        <w:jc w:val="both"/>
        <w:rPr>
          <w:rFonts w:ascii="Arial" w:hAnsi="Arial" w:cs="Arial"/>
          <w:sz w:val="22"/>
          <w:szCs w:val="22"/>
        </w:rPr>
      </w:pPr>
      <w:r w:rsidRPr="00EE6504">
        <w:rPr>
          <w:rFonts w:ascii="Arial" w:hAnsi="Arial" w:cs="Arial"/>
          <w:sz w:val="22"/>
          <w:szCs w:val="22"/>
        </w:rPr>
        <w:t xml:space="preserve">Opis zależności </w:t>
      </w:r>
      <w:proofErr w:type="spellStart"/>
      <w:r w:rsidRPr="00EE6504">
        <w:rPr>
          <w:rFonts w:ascii="Arial" w:hAnsi="Arial" w:cs="Arial"/>
          <w:sz w:val="22"/>
          <w:szCs w:val="22"/>
        </w:rPr>
        <w:t>międzyobiektowych</w:t>
      </w:r>
      <w:proofErr w:type="spellEnd"/>
      <w:r w:rsidRPr="00EE6504">
        <w:rPr>
          <w:rFonts w:ascii="Arial" w:hAnsi="Arial" w:cs="Arial"/>
          <w:sz w:val="22"/>
          <w:szCs w:val="22"/>
        </w:rPr>
        <w:t>.</w:t>
      </w:r>
    </w:p>
    <w:p w14:paraId="4F78FE59" w14:textId="77777777" w:rsidR="00EE6504" w:rsidRPr="00EE6504" w:rsidRDefault="00EE6504" w:rsidP="00EE6504">
      <w:pPr>
        <w:pStyle w:val="Akapitzlist"/>
        <w:numPr>
          <w:ilvl w:val="0"/>
          <w:numId w:val="19"/>
        </w:numPr>
        <w:spacing w:line="240" w:lineRule="auto"/>
        <w:jc w:val="both"/>
        <w:rPr>
          <w:rFonts w:ascii="Arial" w:hAnsi="Arial" w:cs="Arial"/>
          <w:sz w:val="22"/>
          <w:szCs w:val="22"/>
        </w:rPr>
      </w:pPr>
      <w:r w:rsidRPr="00EE6504">
        <w:rPr>
          <w:rFonts w:ascii="Arial" w:hAnsi="Arial" w:cs="Arial"/>
          <w:sz w:val="22"/>
          <w:szCs w:val="22"/>
        </w:rPr>
        <w:t>Kompletną listę sygnałów wejściowych i wyjściowych (tabela I/O) z podziałem na sygnały cyfrowe DI/DO i analogowe AI/AO, z opisem każdego sygnału, typem, przypisaniem do urządzenia i oznaczeniem zgodnym z P&amp;ID.</w:t>
      </w:r>
    </w:p>
    <w:p w14:paraId="6FC2883A" w14:textId="77777777" w:rsidR="00EE6504" w:rsidRPr="00EE6504" w:rsidRDefault="00EE6504" w:rsidP="00EE6504">
      <w:pPr>
        <w:pStyle w:val="Akapitzlist"/>
        <w:numPr>
          <w:ilvl w:val="0"/>
          <w:numId w:val="19"/>
        </w:numPr>
        <w:spacing w:line="240" w:lineRule="auto"/>
        <w:jc w:val="both"/>
        <w:rPr>
          <w:rFonts w:ascii="Arial" w:hAnsi="Arial" w:cs="Arial"/>
          <w:sz w:val="22"/>
          <w:szCs w:val="22"/>
        </w:rPr>
      </w:pPr>
      <w:r w:rsidRPr="00EE6504">
        <w:rPr>
          <w:rFonts w:ascii="Arial" w:hAnsi="Arial" w:cs="Arial"/>
          <w:sz w:val="22"/>
          <w:szCs w:val="22"/>
        </w:rPr>
        <w:t xml:space="preserve">Zestawienie urządzeń technologicznych objętych migracją z numerami </w:t>
      </w:r>
      <w:proofErr w:type="spellStart"/>
      <w:r w:rsidRPr="00EE6504">
        <w:rPr>
          <w:rFonts w:ascii="Arial" w:hAnsi="Arial" w:cs="Arial"/>
          <w:sz w:val="22"/>
          <w:szCs w:val="22"/>
        </w:rPr>
        <w:t>oznaczeniowymi</w:t>
      </w:r>
      <w:proofErr w:type="spellEnd"/>
      <w:r w:rsidRPr="00EE6504">
        <w:rPr>
          <w:rFonts w:ascii="Arial" w:hAnsi="Arial" w:cs="Arial"/>
          <w:sz w:val="22"/>
          <w:szCs w:val="22"/>
        </w:rPr>
        <w:t xml:space="preserve"> zgodnymi z dokumentacją eksploatacyjną obiektu.</w:t>
      </w:r>
    </w:p>
    <w:p w14:paraId="14F1087E" w14:textId="77777777" w:rsidR="00EE6504" w:rsidRPr="00EE6504" w:rsidRDefault="00EE6504" w:rsidP="00EE6504">
      <w:pPr>
        <w:pStyle w:val="Akapitzlist"/>
        <w:numPr>
          <w:ilvl w:val="0"/>
          <w:numId w:val="19"/>
        </w:numPr>
        <w:spacing w:line="240" w:lineRule="auto"/>
        <w:jc w:val="both"/>
        <w:rPr>
          <w:rFonts w:ascii="Arial" w:hAnsi="Arial" w:cs="Arial"/>
          <w:sz w:val="22"/>
          <w:szCs w:val="22"/>
        </w:rPr>
      </w:pPr>
      <w:r w:rsidRPr="00EE6504">
        <w:rPr>
          <w:rFonts w:ascii="Arial" w:hAnsi="Arial" w:cs="Arial"/>
          <w:sz w:val="22"/>
          <w:szCs w:val="22"/>
        </w:rPr>
        <w:t>Wykaz urządzeń komunikacyjnych i protokołów.</w:t>
      </w:r>
    </w:p>
    <w:p w14:paraId="7DDF8124" w14:textId="77777777" w:rsidR="00EE6504" w:rsidRPr="00EE6504" w:rsidRDefault="00EE6504" w:rsidP="00EE6504">
      <w:pPr>
        <w:pStyle w:val="Akapitzlist"/>
        <w:numPr>
          <w:ilvl w:val="0"/>
          <w:numId w:val="19"/>
        </w:numPr>
        <w:spacing w:line="240" w:lineRule="auto"/>
        <w:jc w:val="both"/>
        <w:rPr>
          <w:rFonts w:ascii="Arial" w:hAnsi="Arial" w:cs="Arial"/>
          <w:sz w:val="22"/>
          <w:szCs w:val="22"/>
        </w:rPr>
      </w:pPr>
      <w:r w:rsidRPr="00EE6504">
        <w:rPr>
          <w:rFonts w:ascii="Arial" w:hAnsi="Arial" w:cs="Arial"/>
          <w:sz w:val="22"/>
          <w:szCs w:val="22"/>
        </w:rPr>
        <w:t xml:space="preserve">Kompletną tabelę rejestrów </w:t>
      </w:r>
      <w:proofErr w:type="spellStart"/>
      <w:r w:rsidRPr="00EE6504">
        <w:rPr>
          <w:rFonts w:ascii="Arial" w:hAnsi="Arial" w:cs="Arial"/>
          <w:sz w:val="22"/>
          <w:szCs w:val="22"/>
        </w:rPr>
        <w:t>Modbus</w:t>
      </w:r>
      <w:proofErr w:type="spellEnd"/>
      <w:r w:rsidRPr="00EE6504">
        <w:rPr>
          <w:rFonts w:ascii="Arial" w:hAnsi="Arial" w:cs="Arial"/>
          <w:sz w:val="22"/>
          <w:szCs w:val="22"/>
        </w:rPr>
        <w:t xml:space="preserve"> wymienianych pomiędzy sterownikiem przepompowni a systemem SCADA Zamawiającego, uzgodnioną z przedstawicielem Zamawiającego przed zatwierdzeniem SOF.</w:t>
      </w:r>
    </w:p>
    <w:p w14:paraId="026A4B33" w14:textId="77777777" w:rsidR="00EE6504" w:rsidRPr="00EE6504" w:rsidRDefault="00EE6504" w:rsidP="00EE6504">
      <w:pPr>
        <w:rPr>
          <w:rFonts w:ascii="Arial" w:hAnsi="Arial" w:cs="Arial"/>
          <w:sz w:val="22"/>
          <w:szCs w:val="22"/>
        </w:rPr>
      </w:pPr>
      <w:r w:rsidRPr="00EE6504">
        <w:rPr>
          <w:rFonts w:ascii="Arial" w:hAnsi="Arial" w:cs="Arial"/>
          <w:sz w:val="22"/>
          <w:szCs w:val="22"/>
        </w:rPr>
        <w:t>Programowanie PLC i SCADA bez pisemnie zatwierdzonego SOF odbywa się wyłącznie na ryzyko Wykonawcy.</w:t>
      </w:r>
    </w:p>
    <w:p w14:paraId="42D3A697" w14:textId="77777777" w:rsidR="00EE6504" w:rsidRPr="00EE6504" w:rsidRDefault="00EE6504" w:rsidP="00EE6504">
      <w:pPr>
        <w:rPr>
          <w:rFonts w:ascii="Arial" w:hAnsi="Arial" w:cs="Arial"/>
          <w:sz w:val="22"/>
          <w:szCs w:val="22"/>
        </w:rPr>
      </w:pPr>
      <w:r w:rsidRPr="00EE6504">
        <w:rPr>
          <w:rFonts w:ascii="Arial" w:hAnsi="Arial" w:cs="Arial"/>
          <w:sz w:val="22"/>
          <w:szCs w:val="22"/>
        </w:rPr>
        <w:t>SOF musi zostać zatwierdzony pisemnie przez wyznaczony personel Zamawiającego. Wykonawca zobowiązany jest do dostarczenia projektu SOF w terminie nie późniejszym niż 21 dni kalendarzowych od dnia zawarcia umowy. Zamawiający dokona weryfikacji i przekaże uwagi w terminie 10 dni roboczych od otrzymania dokumentu. Brak pisemnego zatwierdzenia SOF blokuje realizację Etapu II.</w:t>
      </w:r>
    </w:p>
    <w:p w14:paraId="4CAAB823" w14:textId="77777777" w:rsidR="00EE6504" w:rsidRPr="00EE6504" w:rsidRDefault="00EE6504" w:rsidP="00EE6504">
      <w:pPr>
        <w:pStyle w:val="Nagwek3"/>
        <w:numPr>
          <w:ilvl w:val="2"/>
          <w:numId w:val="10"/>
        </w:numPr>
        <w:spacing w:before="240" w:after="120" w:line="240" w:lineRule="auto"/>
        <w:jc w:val="both"/>
        <w:rPr>
          <w:rFonts w:ascii="Arial" w:hAnsi="Arial" w:cs="Arial"/>
          <w:sz w:val="22"/>
          <w:szCs w:val="22"/>
        </w:rPr>
      </w:pPr>
      <w:bookmarkStart w:id="48" w:name="_Toc231883665"/>
      <w:r w:rsidRPr="00EE6504">
        <w:rPr>
          <w:rFonts w:ascii="Arial" w:hAnsi="Arial" w:cs="Arial"/>
          <w:sz w:val="22"/>
          <w:szCs w:val="22"/>
        </w:rPr>
        <w:t>Oprogramowanie</w:t>
      </w:r>
      <w:bookmarkEnd w:id="48"/>
    </w:p>
    <w:p w14:paraId="4C66F9EB"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Istniejące aplikacje należy traktować jako bazę referencyjną.</w:t>
      </w:r>
    </w:p>
    <w:p w14:paraId="258E9918"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Wymaga się maksymalnego zachowania sprawdzonej filozofii sterowania.</w:t>
      </w:r>
    </w:p>
    <w:p w14:paraId="6A93F6B2"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 xml:space="preserve">Blokady awaryjne chroniące przed </w:t>
      </w:r>
      <w:proofErr w:type="spellStart"/>
      <w:r w:rsidRPr="00EE6504">
        <w:rPr>
          <w:rFonts w:ascii="Arial" w:hAnsi="Arial" w:cs="Arial"/>
          <w:sz w:val="22"/>
          <w:szCs w:val="22"/>
        </w:rPr>
        <w:t>suchobiegiem</w:t>
      </w:r>
      <w:proofErr w:type="spellEnd"/>
      <w:r w:rsidRPr="00EE6504">
        <w:rPr>
          <w:rFonts w:ascii="Arial" w:hAnsi="Arial" w:cs="Arial"/>
          <w:sz w:val="22"/>
          <w:szCs w:val="22"/>
        </w:rPr>
        <w:t xml:space="preserve"> pomp, przeciążeniem silnika oraz przekroczeniem poziomu maksymalnego muszą być realizowane jako sprzętowa blokada bezpieczeństwa, niezależnie od logiki PLC. Zadziałanie blokady sprzętowej musi być sygnalizowane na HMI i rejestrowane w historii alarmów.</w:t>
      </w:r>
    </w:p>
    <w:p w14:paraId="496C07B8"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System musi posiadać dostępne z panelu poziomy uprawnień Operator, Serwis, Administrator, do których logowanie wymagać będzie wpisania hasła z panelu HMI, umożliwiające poprzez panel HMI z poziomu dostępu:</w:t>
      </w:r>
    </w:p>
    <w:p w14:paraId="5070FDC0"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Operatora – podgląd ekranów, sterowanie urządzeniami w zakresie przewidzianym technologicznie, potwierdzanie alarmów, zmiany trybów pracy (automatyczny, manualny), podgląd trendów i historii alarmów, uruchamiania i zatrzymywania urządzeń, zmiana podstawowych nastaw (poziomów, czasów, progów alarmowych, histerez),</w:t>
      </w:r>
    </w:p>
    <w:p w14:paraId="19C39BC6"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Serwisu – wszystko co może Operator oraz</w:t>
      </w:r>
      <w:r w:rsidRPr="00EE6504">
        <w:rPr>
          <w:rFonts w:ascii="Arial" w:eastAsia="SimSun" w:hAnsi="Arial" w:cs="Arial"/>
          <w:sz w:val="22"/>
          <w:szCs w:val="22"/>
        </w:rPr>
        <w:t xml:space="preserve"> </w:t>
      </w:r>
      <w:r w:rsidRPr="00EE6504">
        <w:rPr>
          <w:rFonts w:ascii="Arial" w:hAnsi="Arial" w:cs="Arial"/>
          <w:sz w:val="22"/>
          <w:szCs w:val="22"/>
        </w:rPr>
        <w:t>dostęp do ekranów serwisowych,</w:t>
      </w:r>
      <w:r w:rsidRPr="00EE6504">
        <w:rPr>
          <w:rFonts w:ascii="Arial" w:eastAsia="SimSun" w:hAnsi="Arial" w:cs="Arial"/>
          <w:sz w:val="22"/>
          <w:szCs w:val="22"/>
        </w:rPr>
        <w:t xml:space="preserve"> </w:t>
      </w:r>
      <w:r w:rsidRPr="00EE6504">
        <w:rPr>
          <w:rFonts w:ascii="Arial" w:hAnsi="Arial" w:cs="Arial"/>
          <w:sz w:val="22"/>
          <w:szCs w:val="22"/>
        </w:rPr>
        <w:t>podgląd diagnostyki IO,</w:t>
      </w:r>
      <w:r w:rsidRPr="00EE6504">
        <w:rPr>
          <w:rFonts w:ascii="Arial" w:eastAsia="SimSun" w:hAnsi="Arial" w:cs="Arial"/>
          <w:sz w:val="22"/>
          <w:szCs w:val="22"/>
        </w:rPr>
        <w:t xml:space="preserve"> </w:t>
      </w:r>
      <w:r w:rsidRPr="00EE6504">
        <w:rPr>
          <w:rFonts w:ascii="Arial" w:hAnsi="Arial" w:cs="Arial"/>
          <w:sz w:val="22"/>
          <w:szCs w:val="22"/>
        </w:rPr>
        <w:t>podgląd komunikacji,</w:t>
      </w:r>
      <w:r w:rsidRPr="00EE6504">
        <w:rPr>
          <w:rFonts w:ascii="Arial" w:eastAsia="SimSun" w:hAnsi="Arial" w:cs="Arial"/>
          <w:sz w:val="22"/>
          <w:szCs w:val="22"/>
        </w:rPr>
        <w:t xml:space="preserve"> </w:t>
      </w:r>
      <w:r w:rsidRPr="00EE6504">
        <w:rPr>
          <w:rFonts w:ascii="Arial" w:hAnsi="Arial" w:cs="Arial"/>
          <w:sz w:val="22"/>
          <w:szCs w:val="22"/>
        </w:rPr>
        <w:t>reset alarmów serwisowych,</w:t>
      </w:r>
      <w:r w:rsidRPr="00EE6504">
        <w:rPr>
          <w:rFonts w:ascii="Arial" w:eastAsia="SimSun" w:hAnsi="Arial" w:cs="Arial"/>
          <w:sz w:val="22"/>
          <w:szCs w:val="22"/>
        </w:rPr>
        <w:t xml:space="preserve"> </w:t>
      </w:r>
      <w:r w:rsidRPr="00EE6504">
        <w:rPr>
          <w:rFonts w:ascii="Arial" w:hAnsi="Arial" w:cs="Arial"/>
          <w:sz w:val="22"/>
          <w:szCs w:val="22"/>
        </w:rPr>
        <w:t>wymuszenia i testy sygnałów,</w:t>
      </w:r>
      <w:r w:rsidRPr="00EE6504">
        <w:rPr>
          <w:rFonts w:ascii="Arial" w:eastAsia="SimSun" w:hAnsi="Arial" w:cs="Arial"/>
          <w:sz w:val="22"/>
          <w:szCs w:val="22"/>
        </w:rPr>
        <w:t xml:space="preserve"> </w:t>
      </w:r>
      <w:r w:rsidRPr="00EE6504">
        <w:rPr>
          <w:rFonts w:ascii="Arial" w:hAnsi="Arial" w:cs="Arial"/>
          <w:sz w:val="22"/>
          <w:szCs w:val="22"/>
        </w:rPr>
        <w:t>blokowanie urządzeń do serwisu,</w:t>
      </w:r>
      <w:r w:rsidRPr="00EE6504">
        <w:rPr>
          <w:rFonts w:ascii="Arial" w:eastAsia="SimSun" w:hAnsi="Arial" w:cs="Arial"/>
          <w:sz w:val="22"/>
          <w:szCs w:val="22"/>
        </w:rPr>
        <w:t xml:space="preserve"> </w:t>
      </w:r>
      <w:r w:rsidRPr="00EE6504">
        <w:rPr>
          <w:rFonts w:ascii="Arial" w:hAnsi="Arial" w:cs="Arial"/>
          <w:sz w:val="22"/>
          <w:szCs w:val="22"/>
        </w:rPr>
        <w:t>zmiana parametrów PID,</w:t>
      </w:r>
      <w:r w:rsidRPr="00EE6504">
        <w:rPr>
          <w:rFonts w:ascii="Arial" w:eastAsia="SimSun" w:hAnsi="Arial" w:cs="Arial"/>
          <w:sz w:val="22"/>
          <w:szCs w:val="22"/>
        </w:rPr>
        <w:t xml:space="preserve"> </w:t>
      </w:r>
      <w:r w:rsidRPr="00EE6504">
        <w:rPr>
          <w:rFonts w:ascii="Arial" w:hAnsi="Arial" w:cs="Arial"/>
          <w:sz w:val="22"/>
          <w:szCs w:val="22"/>
        </w:rPr>
        <w:t>zmiana parametrów technologicznych rozszerzonych, zmiana ustawień panelu HMI, import/export receptur i archiwów,</w:t>
      </w:r>
      <w:r w:rsidRPr="00EE6504">
        <w:rPr>
          <w:rFonts w:ascii="Arial" w:eastAsia="SimSun" w:hAnsi="Arial" w:cs="Arial"/>
          <w:sz w:val="22"/>
          <w:szCs w:val="22"/>
        </w:rPr>
        <w:t xml:space="preserve"> </w:t>
      </w:r>
      <w:r w:rsidRPr="00EE6504">
        <w:rPr>
          <w:rFonts w:ascii="Arial" w:hAnsi="Arial" w:cs="Arial"/>
          <w:sz w:val="22"/>
          <w:szCs w:val="22"/>
        </w:rPr>
        <w:t>konfiguracja komunikacji,</w:t>
      </w:r>
    </w:p>
    <w:p w14:paraId="003BB96D"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Administratora – wszystko co może Serwis oraz konfiguracja użytkowników i haseł do wszystkich poziomów dostępu, konfiguracja poziomów dostępu.</w:t>
      </w:r>
    </w:p>
    <w:p w14:paraId="0E452A72"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Nowe oprogramowanie musi zapewniać pełną równoważność funkcjonalną względem systemu istniejącego, przy zachowaniu tej samej filozofii sterowania, sekwencji technologicznych, blokad oraz sposobu obsługi operatorskiej. Dopuszcza się wyłącznie zmiany wynikające z zastosowania nowej aparatury, wymaganych rozszerzeń funkcjonalnych, bez ingerencji w logikę procesu nieuzasadnionej technologicznie.</w:t>
      </w:r>
    </w:p>
    <w:p w14:paraId="0E7A1276"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System po modernizacji nie może zgłaszać błędów komunikacji, statusów „</w:t>
      </w:r>
      <w:proofErr w:type="spellStart"/>
      <w:r w:rsidRPr="00EE6504">
        <w:rPr>
          <w:rFonts w:ascii="Arial" w:hAnsi="Arial" w:cs="Arial"/>
          <w:sz w:val="22"/>
          <w:szCs w:val="22"/>
        </w:rPr>
        <w:t>Timeout</w:t>
      </w:r>
      <w:proofErr w:type="spellEnd"/>
      <w:r w:rsidRPr="00EE6504">
        <w:rPr>
          <w:rFonts w:ascii="Arial" w:hAnsi="Arial" w:cs="Arial"/>
          <w:sz w:val="22"/>
          <w:szCs w:val="22"/>
        </w:rPr>
        <w:t>” ani błędów diagnostycznych związanych z urządzeniami, które zostały fizycznie usunięte lub zastąpione.</w:t>
      </w:r>
    </w:p>
    <w:p w14:paraId="7C22FFCD"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lastRenderedPageBreak/>
        <w:t xml:space="preserve">Nazewnictwo wszystkich </w:t>
      </w:r>
      <w:proofErr w:type="spellStart"/>
      <w:r w:rsidRPr="00EE6504">
        <w:rPr>
          <w:rFonts w:ascii="Arial" w:hAnsi="Arial" w:cs="Arial"/>
          <w:sz w:val="22"/>
          <w:szCs w:val="22"/>
        </w:rPr>
        <w:t>Tagów</w:t>
      </w:r>
      <w:proofErr w:type="spellEnd"/>
      <w:r w:rsidRPr="00EE6504">
        <w:rPr>
          <w:rFonts w:ascii="Arial" w:hAnsi="Arial" w:cs="Arial"/>
          <w:sz w:val="22"/>
          <w:szCs w:val="22"/>
        </w:rPr>
        <w:t xml:space="preserve"> w sterowniku PLC oraz systemie HMI musi być w 100% zgodne ze schematami technologicznymi P&amp;ID oraz standardem normy ISA-5.1.</w:t>
      </w:r>
    </w:p>
    <w:p w14:paraId="65BC640C"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 xml:space="preserve">Dla każdego urządzenia zidentyfikowanego na schemacie P&amp;ID (zawór, pompa, czujnik, napęd) należy zastosować dedykowaną strukturę danych UDT (User </w:t>
      </w:r>
      <w:proofErr w:type="spellStart"/>
      <w:r w:rsidRPr="00EE6504">
        <w:rPr>
          <w:rFonts w:ascii="Arial" w:hAnsi="Arial" w:cs="Arial"/>
          <w:sz w:val="22"/>
          <w:szCs w:val="22"/>
        </w:rPr>
        <w:t>Defined</w:t>
      </w:r>
      <w:proofErr w:type="spellEnd"/>
      <w:r w:rsidRPr="00EE6504">
        <w:rPr>
          <w:rFonts w:ascii="Arial" w:hAnsi="Arial" w:cs="Arial"/>
          <w:sz w:val="22"/>
          <w:szCs w:val="22"/>
        </w:rPr>
        <w:t xml:space="preserve"> </w:t>
      </w:r>
      <w:proofErr w:type="spellStart"/>
      <w:r w:rsidRPr="00EE6504">
        <w:rPr>
          <w:rFonts w:ascii="Arial" w:hAnsi="Arial" w:cs="Arial"/>
          <w:sz w:val="22"/>
          <w:szCs w:val="22"/>
        </w:rPr>
        <w:t>Type</w:t>
      </w:r>
      <w:proofErr w:type="spellEnd"/>
      <w:r w:rsidRPr="00EE6504">
        <w:rPr>
          <w:rFonts w:ascii="Arial" w:hAnsi="Arial" w:cs="Arial"/>
          <w:sz w:val="22"/>
          <w:szCs w:val="22"/>
        </w:rPr>
        <w:t>).</w:t>
      </w:r>
    </w:p>
    <w:p w14:paraId="07570717"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Struktura musi tworzyć logiczny model urządzenia, skupiając wszystkie jego parametry (np. Status, Control, Alarm, Feedback, Auto/Manual) w jednym obiekcie.</w:t>
      </w:r>
    </w:p>
    <w:p w14:paraId="30B7B1F5"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Zabrania się stosowania rozproszonych zmiennych bitowych dla jednego urządzenia.</w:t>
      </w:r>
    </w:p>
    <w:p w14:paraId="1232CB1D"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proofErr w:type="spellStart"/>
      <w:r w:rsidRPr="00EE6504">
        <w:rPr>
          <w:rFonts w:ascii="Arial" w:hAnsi="Arial" w:cs="Arial"/>
          <w:sz w:val="22"/>
          <w:szCs w:val="22"/>
        </w:rPr>
        <w:t>Tagi</w:t>
      </w:r>
      <w:proofErr w:type="spellEnd"/>
      <w:r w:rsidRPr="00EE6504">
        <w:rPr>
          <w:rFonts w:ascii="Arial" w:hAnsi="Arial" w:cs="Arial"/>
          <w:sz w:val="22"/>
          <w:szCs w:val="22"/>
        </w:rPr>
        <w:t xml:space="preserve"> sygnałów obiektowych muszą odzwierciedlać oznaczenia z dokumentacji wykonawczej.</w:t>
      </w:r>
    </w:p>
    <w:p w14:paraId="41A6D979"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Program sterujący należy wykonać od podstaw w środowisku TIA Portal, dedykowanym dla dostarczonych przez Zamawiającego sterowników.</w:t>
      </w:r>
    </w:p>
    <w:p w14:paraId="38F1CACD"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Program musi stanowić pełne odwzorowanie istniejącego systemu sterowania (funkcjonalność 1:1).</w:t>
      </w:r>
    </w:p>
    <w:p w14:paraId="2EFDFE21"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Zabrania się zmiany algorytmu pracy bez pisemnej zgody Zamawiającego.</w:t>
      </w:r>
    </w:p>
    <w:p w14:paraId="610B01CA"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Wykonawca zobowiązany jest do analizy dokumentacji oraz rzeczywistego działania obiektu.</w:t>
      </w:r>
    </w:p>
    <w:p w14:paraId="7E509F5C"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Wykonawca zobowiązany jest do weryfikacji i dostosowania programu na podstawie rzeczywistej pracy przepompowni.</w:t>
      </w:r>
    </w:p>
    <w:p w14:paraId="75FE8BB9"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Program musi być wykonany w sposób strukturalny, czytelny wraz z opisami i komentarzami poszczególnych zmiennych, funkcji czy bloków programu.</w:t>
      </w:r>
    </w:p>
    <w:p w14:paraId="4143296D"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Wszystkie zmienne niebędące bezpośrednimi sygnałami wejścia/wyjścia muszą być zorganizowane według poniższych zasad:</w:t>
      </w:r>
    </w:p>
    <w:p w14:paraId="4898FFC2"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Wszystkie parametry regulatorów PID muszą być zgrupowane w czytelne struktury (UDT) przypisane do konkretnego obiektu technologicznego zgodnie z ISA-5.1.</w:t>
      </w:r>
    </w:p>
    <w:p w14:paraId="3098820E"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Należy stosować ustandaryzowane przyrostki dla parametrów struktur.</w:t>
      </w:r>
    </w:p>
    <w:p w14:paraId="65C21EFC" w14:textId="77777777" w:rsidR="00EE6504" w:rsidRPr="00EE6504" w:rsidRDefault="00EE6504" w:rsidP="00EE6504">
      <w:pPr>
        <w:pStyle w:val="Akapitzlist"/>
        <w:ind w:left="1068"/>
        <w:rPr>
          <w:rFonts w:ascii="Arial" w:hAnsi="Arial" w:cs="Arial"/>
          <w:sz w:val="22"/>
          <w:szCs w:val="22"/>
        </w:rPr>
      </w:pPr>
      <w:r w:rsidRPr="00EE6504">
        <w:rPr>
          <w:rFonts w:ascii="Arial" w:hAnsi="Arial" w:cs="Arial"/>
          <w:sz w:val="22"/>
          <w:szCs w:val="22"/>
        </w:rPr>
        <w:t>Przykład: PIC_101.Kp, PIC_101.Ti, PIC_101.SFP.</w:t>
      </w:r>
    </w:p>
    <w:p w14:paraId="632BA9D3"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 xml:space="preserve">Wprowadzanie wartości progowych bezpośrednio w kodzie programu (tzw. </w:t>
      </w:r>
      <w:proofErr w:type="spellStart"/>
      <w:r w:rsidRPr="00EE6504">
        <w:rPr>
          <w:rFonts w:ascii="Arial" w:hAnsi="Arial" w:cs="Arial"/>
          <w:sz w:val="22"/>
          <w:szCs w:val="22"/>
        </w:rPr>
        <w:t>hardcoding</w:t>
      </w:r>
      <w:proofErr w:type="spellEnd"/>
      <w:r w:rsidRPr="00EE6504">
        <w:rPr>
          <w:rFonts w:ascii="Arial" w:hAnsi="Arial" w:cs="Arial"/>
          <w:sz w:val="22"/>
          <w:szCs w:val="22"/>
        </w:rPr>
        <w:t>) jest niedozwolone. Wszystkie progi muszą być zmiennymi (</w:t>
      </w:r>
      <w:proofErr w:type="spellStart"/>
      <w:r w:rsidRPr="00EE6504">
        <w:rPr>
          <w:rFonts w:ascii="Arial" w:hAnsi="Arial" w:cs="Arial"/>
          <w:sz w:val="22"/>
          <w:szCs w:val="22"/>
        </w:rPr>
        <w:t>tagami</w:t>
      </w:r>
      <w:proofErr w:type="spellEnd"/>
      <w:r w:rsidRPr="00EE6504">
        <w:rPr>
          <w:rFonts w:ascii="Arial" w:hAnsi="Arial" w:cs="Arial"/>
          <w:sz w:val="22"/>
          <w:szCs w:val="22"/>
        </w:rPr>
        <w:t>) dostępnymi do edycji.</w:t>
      </w:r>
    </w:p>
    <w:p w14:paraId="1D1EDC4C" w14:textId="77777777" w:rsidR="00EE6504" w:rsidRPr="00EE6504" w:rsidRDefault="00EE6504" w:rsidP="00EE6504">
      <w:pPr>
        <w:pStyle w:val="Akapitzlist"/>
        <w:ind w:left="1068"/>
        <w:rPr>
          <w:rFonts w:ascii="Arial" w:hAnsi="Arial" w:cs="Arial"/>
          <w:sz w:val="22"/>
          <w:szCs w:val="22"/>
          <w:lang w:val="en-US"/>
        </w:rPr>
      </w:pPr>
      <w:proofErr w:type="spellStart"/>
      <w:r w:rsidRPr="00EE6504">
        <w:rPr>
          <w:rFonts w:ascii="Arial" w:hAnsi="Arial" w:cs="Arial"/>
          <w:sz w:val="22"/>
          <w:szCs w:val="22"/>
          <w:lang w:val="en-US"/>
        </w:rPr>
        <w:t>Przykład</w:t>
      </w:r>
      <w:proofErr w:type="spellEnd"/>
      <w:r w:rsidRPr="00EE6504">
        <w:rPr>
          <w:rFonts w:ascii="Arial" w:hAnsi="Arial" w:cs="Arial"/>
          <w:sz w:val="22"/>
          <w:szCs w:val="22"/>
          <w:lang w:val="en-US"/>
        </w:rPr>
        <w:t>: LIT_101.HighHys, PIT_303.HH_Limit.</w:t>
      </w:r>
    </w:p>
    <w:p w14:paraId="43F5FE84"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Wszelkie opóźnienia i czasy nadzoru muszą być wyniesione do zmiennych konfiguracyjnych. Zakaz stosowania stałych czasowych typu T#5s wewnątrz bloków logicznych.</w:t>
      </w:r>
    </w:p>
    <w:p w14:paraId="4F31DC8D" w14:textId="77777777" w:rsidR="00EE6504" w:rsidRPr="00EE6504" w:rsidRDefault="00EE6504" w:rsidP="00EE6504">
      <w:pPr>
        <w:pStyle w:val="Akapitzlist"/>
        <w:ind w:left="1068"/>
        <w:rPr>
          <w:rFonts w:ascii="Arial" w:hAnsi="Arial" w:cs="Arial"/>
          <w:sz w:val="22"/>
          <w:szCs w:val="22"/>
          <w:lang w:val="en-US"/>
        </w:rPr>
      </w:pPr>
      <w:proofErr w:type="spellStart"/>
      <w:r w:rsidRPr="00EE6504">
        <w:rPr>
          <w:rFonts w:ascii="Arial" w:hAnsi="Arial" w:cs="Arial"/>
          <w:sz w:val="22"/>
          <w:szCs w:val="22"/>
          <w:lang w:val="en-US"/>
        </w:rPr>
        <w:t>Przykład</w:t>
      </w:r>
      <w:proofErr w:type="spellEnd"/>
      <w:r w:rsidRPr="00EE6504">
        <w:rPr>
          <w:rFonts w:ascii="Arial" w:hAnsi="Arial" w:cs="Arial"/>
          <w:sz w:val="22"/>
          <w:szCs w:val="22"/>
          <w:lang w:val="en-US"/>
        </w:rPr>
        <w:t>: VLV_202.Timeout, PMP_101.DelayOn.</w:t>
      </w:r>
    </w:p>
    <w:p w14:paraId="46E6FBD1"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 xml:space="preserve">Zabrania się stosowania markerów tymczasowych o nazwach generycznych (np. M100, temp1, pomoc_1). Zmienne muszą posiadać nazwy opisowe w języku angielskim lub polskim (bez polskich znaków), np. </w:t>
      </w:r>
      <w:proofErr w:type="spellStart"/>
      <w:r w:rsidRPr="00EE6504">
        <w:rPr>
          <w:rFonts w:ascii="Arial" w:hAnsi="Arial" w:cs="Arial"/>
          <w:sz w:val="22"/>
          <w:szCs w:val="22"/>
        </w:rPr>
        <w:t>b_AutoPermissive_Start</w:t>
      </w:r>
      <w:proofErr w:type="spellEnd"/>
      <w:r w:rsidRPr="00EE6504">
        <w:rPr>
          <w:rFonts w:ascii="Arial" w:hAnsi="Arial" w:cs="Arial"/>
          <w:sz w:val="22"/>
          <w:szCs w:val="22"/>
        </w:rPr>
        <w:t xml:space="preserve"> lub </w:t>
      </w:r>
      <w:proofErr w:type="spellStart"/>
      <w:r w:rsidRPr="00EE6504">
        <w:rPr>
          <w:rFonts w:ascii="Arial" w:hAnsi="Arial" w:cs="Arial"/>
          <w:sz w:val="22"/>
          <w:szCs w:val="22"/>
        </w:rPr>
        <w:t>b_Zezwolenie_Start_Auto</w:t>
      </w:r>
      <w:proofErr w:type="spellEnd"/>
      <w:r w:rsidRPr="00EE6504">
        <w:rPr>
          <w:rFonts w:ascii="Arial" w:hAnsi="Arial" w:cs="Arial"/>
          <w:sz w:val="22"/>
          <w:szCs w:val="22"/>
        </w:rPr>
        <w:t>.</w:t>
      </w:r>
    </w:p>
    <w:p w14:paraId="26575EAA"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 xml:space="preserve">Wszystkie obliczenia i nastawy wewnętrzne PLC muszą być realizowane na jednostkach inżynierskich (np. bar, °C, m³/h, </w:t>
      </w:r>
      <w:proofErr w:type="spellStart"/>
      <w:r w:rsidRPr="00EE6504">
        <w:rPr>
          <w:rFonts w:ascii="Arial" w:hAnsi="Arial" w:cs="Arial"/>
          <w:sz w:val="22"/>
          <w:szCs w:val="22"/>
        </w:rPr>
        <w:t>Hz</w:t>
      </w:r>
      <w:proofErr w:type="spellEnd"/>
      <w:r w:rsidRPr="00EE6504">
        <w:rPr>
          <w:rFonts w:ascii="Arial" w:hAnsi="Arial" w:cs="Arial"/>
          <w:sz w:val="22"/>
          <w:szCs w:val="22"/>
        </w:rPr>
        <w:t>). Skalowanie z wartości surowych (RAW) musi odbywać się w warstwie mapowania IO, a nie w logice procesowej.</w:t>
      </w:r>
    </w:p>
    <w:p w14:paraId="00D75C27"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Retencja i ekspozycja danych oraz interfejs HMI</w:t>
      </w:r>
    </w:p>
    <w:p w14:paraId="60F70714"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 xml:space="preserve">Wszystkie nastawy (PID, czasy, limity, histerezy) muszą być zadeklarowane jako zmienne </w:t>
      </w:r>
      <w:proofErr w:type="spellStart"/>
      <w:r w:rsidRPr="00EE6504">
        <w:rPr>
          <w:rFonts w:ascii="Arial" w:hAnsi="Arial" w:cs="Arial"/>
          <w:sz w:val="22"/>
          <w:szCs w:val="22"/>
        </w:rPr>
        <w:t>remanentne</w:t>
      </w:r>
      <w:proofErr w:type="spellEnd"/>
      <w:r w:rsidRPr="00EE6504">
        <w:rPr>
          <w:rFonts w:ascii="Arial" w:hAnsi="Arial" w:cs="Arial"/>
          <w:sz w:val="22"/>
          <w:szCs w:val="22"/>
        </w:rPr>
        <w:t xml:space="preserve"> (</w:t>
      </w:r>
      <w:proofErr w:type="spellStart"/>
      <w:r w:rsidRPr="00EE6504">
        <w:rPr>
          <w:rFonts w:ascii="Arial" w:hAnsi="Arial" w:cs="Arial"/>
          <w:sz w:val="22"/>
          <w:szCs w:val="22"/>
        </w:rPr>
        <w:t>Retain</w:t>
      </w:r>
      <w:proofErr w:type="spellEnd"/>
      <w:r w:rsidRPr="00EE6504">
        <w:rPr>
          <w:rFonts w:ascii="Arial" w:hAnsi="Arial" w:cs="Arial"/>
          <w:sz w:val="22"/>
          <w:szCs w:val="22"/>
        </w:rPr>
        <w:t>). System musi zachować te wartości po zaniku zasilania lub restarcie sterownika.</w:t>
      </w:r>
    </w:p>
    <w:p w14:paraId="7FD76BF8"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Wszystkie zmienne i struktury muszą być zadeklarowane jako Globalne, aby umożliwić ich bezpośredni odczyt i zapis przez panele HMI.</w:t>
      </w:r>
    </w:p>
    <w:p w14:paraId="06560F5E"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 xml:space="preserve">Nazewnictwo i hierarchia </w:t>
      </w:r>
      <w:proofErr w:type="spellStart"/>
      <w:r w:rsidRPr="00EE6504">
        <w:rPr>
          <w:rFonts w:ascii="Arial" w:hAnsi="Arial" w:cs="Arial"/>
          <w:sz w:val="22"/>
          <w:szCs w:val="22"/>
        </w:rPr>
        <w:t>tagów</w:t>
      </w:r>
      <w:proofErr w:type="spellEnd"/>
      <w:r w:rsidRPr="00EE6504">
        <w:rPr>
          <w:rFonts w:ascii="Arial" w:hAnsi="Arial" w:cs="Arial"/>
          <w:sz w:val="22"/>
          <w:szCs w:val="22"/>
        </w:rPr>
        <w:t xml:space="preserve"> na HMI musi być identyczna jak w PLC.</w:t>
      </w:r>
    </w:p>
    <w:p w14:paraId="2E984FCF"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Wymagania struktury programu:</w:t>
      </w:r>
    </w:p>
    <w:p w14:paraId="243A76B1"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Kod musi być napisany zgodnie z paradygmatem normy IEC 61131-3, z preferencją dla programowania strukturalnego i obiektowego (</w:t>
      </w:r>
      <w:proofErr w:type="spellStart"/>
      <w:r w:rsidRPr="00EE6504">
        <w:rPr>
          <w:rFonts w:ascii="Arial" w:hAnsi="Arial" w:cs="Arial"/>
          <w:sz w:val="22"/>
          <w:szCs w:val="22"/>
        </w:rPr>
        <w:t>Function</w:t>
      </w:r>
      <w:proofErr w:type="spellEnd"/>
      <w:r w:rsidRPr="00EE6504">
        <w:rPr>
          <w:rFonts w:ascii="Arial" w:hAnsi="Arial" w:cs="Arial"/>
          <w:sz w:val="22"/>
          <w:szCs w:val="22"/>
        </w:rPr>
        <w:t xml:space="preserve"> </w:t>
      </w:r>
      <w:proofErr w:type="spellStart"/>
      <w:r w:rsidRPr="00EE6504">
        <w:rPr>
          <w:rFonts w:ascii="Arial" w:hAnsi="Arial" w:cs="Arial"/>
          <w:sz w:val="22"/>
          <w:szCs w:val="22"/>
        </w:rPr>
        <w:t>Blocks</w:t>
      </w:r>
      <w:proofErr w:type="spellEnd"/>
      <w:r w:rsidRPr="00EE6504">
        <w:rPr>
          <w:rFonts w:ascii="Arial" w:hAnsi="Arial" w:cs="Arial"/>
          <w:sz w:val="22"/>
          <w:szCs w:val="22"/>
        </w:rPr>
        <w:t>).</w:t>
      </w:r>
    </w:p>
    <w:p w14:paraId="71E82A82"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Program musi być podzielony na logiczne moduły/bloki (POU) odpowiadające fizycznym sekcjom linii lub funkcjom technologicznym.</w:t>
      </w:r>
    </w:p>
    <w:p w14:paraId="72B39EA1"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lastRenderedPageBreak/>
        <w:t>Całość logiki musi opierać się wyłącznie na adresowaniu symbolicznym. Zakaz bezpośredniego odwoływania się do adresów fizycznych wewnątrz bloków procesowych.</w:t>
      </w:r>
    </w:p>
    <w:p w14:paraId="6FD98BC8"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Wymagane jest stosowanie warstwy mapowania wejść/wyjść fizycznych na zmienne globalne przed ich wykorzystaniem w logice głównej.</w:t>
      </w:r>
    </w:p>
    <w:p w14:paraId="07D47D42"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proofErr w:type="spellStart"/>
      <w:r w:rsidRPr="00EE6504">
        <w:rPr>
          <w:rFonts w:ascii="Arial" w:hAnsi="Arial" w:cs="Arial"/>
          <w:sz w:val="22"/>
          <w:szCs w:val="22"/>
        </w:rPr>
        <w:t>Cyberbezpieczeństwo</w:t>
      </w:r>
      <w:proofErr w:type="spellEnd"/>
      <w:r w:rsidRPr="00EE6504">
        <w:rPr>
          <w:rFonts w:ascii="Arial" w:hAnsi="Arial" w:cs="Arial"/>
          <w:sz w:val="22"/>
          <w:szCs w:val="22"/>
        </w:rPr>
        <w:t xml:space="preserve"> systemu OT</w:t>
      </w:r>
    </w:p>
    <w:p w14:paraId="7DD5FB5B"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System sterowania musi być projektowany i konfigurowany zgodnie z dobrymi praktykami bezpieczeństwa przemysłowego oraz wytycznymi normy IEC 62443, w zakresie adekwatnym do klasy obiektu oraz przyjętej architektury systemu.</w:t>
      </w:r>
    </w:p>
    <w:p w14:paraId="1518BC9C"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Wdrożenie poziomów uprawnień dla użytkowników (Operator, Serwis, Administrator) oraz rejestracja działań operatorskich. System musi prowadzić log sesji operatorskich zawierający co najmniej: identyfikator użytkownika, datę i godzinę logowania i wylogowania, wykonane operacje sterowania (załączenie/wyłączenie urządzenia, zmiana nastawy) z podaniem wartości przed i po zmianie. Logi muszą być przechowywane przez minimum 90 dni w sterowniku PLC, panelu HMI lub innym nośniku danych zastosowanym przez Wykonawcę oraz dostępne do eksportu na poziomie Serwis i Administrator.</w:t>
      </w:r>
    </w:p>
    <w:p w14:paraId="71086B89"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Wyłączenie nieużywanych usług sieciowych, portów komunikacyjnych oraz protokołów w sterownikach i stacjach HMI.</w:t>
      </w:r>
    </w:p>
    <w:p w14:paraId="6B124FD1"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System musi umożliwiać bezpieczne wykonywanie aktualizacji bezpieczeństwa (Patches) bez ryzyka utraty logiki procesowej.</w:t>
      </w:r>
    </w:p>
    <w:p w14:paraId="388CF83E"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Zamawiający musi posiadać pełne prawa administratorskie do wszystkich urządzeń i oprogramowania, po zalogowaniu do odpowiedniego poziomu dostępu.</w:t>
      </w:r>
    </w:p>
    <w:p w14:paraId="131C2AFB" w14:textId="77777777" w:rsidR="00EE6504" w:rsidRPr="00EE6504" w:rsidRDefault="00EE6504" w:rsidP="00EE6504">
      <w:pPr>
        <w:pStyle w:val="Akapitzlist"/>
        <w:numPr>
          <w:ilvl w:val="0"/>
          <w:numId w:val="18"/>
        </w:numPr>
        <w:spacing w:line="240" w:lineRule="auto"/>
        <w:jc w:val="both"/>
        <w:rPr>
          <w:rFonts w:ascii="Arial" w:hAnsi="Arial" w:cs="Arial"/>
          <w:sz w:val="22"/>
          <w:szCs w:val="22"/>
        </w:rPr>
      </w:pPr>
      <w:r w:rsidRPr="00EE6504">
        <w:rPr>
          <w:rFonts w:ascii="Arial" w:hAnsi="Arial" w:cs="Arial"/>
          <w:sz w:val="22"/>
          <w:szCs w:val="22"/>
        </w:rPr>
        <w:t>Dokumentacja i czytelność kodu:</w:t>
      </w:r>
    </w:p>
    <w:p w14:paraId="3AA9AB76"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Kod musi być przejrzysty i zoptymalizowany. Zakaz stosowania "ukrytej" logiki, skomplikowanych wskaźników (</w:t>
      </w:r>
      <w:proofErr w:type="spellStart"/>
      <w:r w:rsidRPr="00EE6504">
        <w:rPr>
          <w:rFonts w:ascii="Arial" w:hAnsi="Arial" w:cs="Arial"/>
          <w:sz w:val="22"/>
          <w:szCs w:val="22"/>
        </w:rPr>
        <w:t>pointers</w:t>
      </w:r>
      <w:proofErr w:type="spellEnd"/>
      <w:r w:rsidRPr="00EE6504">
        <w:rPr>
          <w:rFonts w:ascii="Arial" w:hAnsi="Arial" w:cs="Arial"/>
          <w:sz w:val="22"/>
          <w:szCs w:val="22"/>
        </w:rPr>
        <w:t>) utrudniających diagnostykę oraz dynamicznego wyliczania adresów.</w:t>
      </w:r>
    </w:p>
    <w:p w14:paraId="1A23A443"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Każda sekcja kodu, sieć (network), funkcja oraz blok funkcyjny muszą posiadać jasny opis w języku polskim, tłumaczący realizowaną operację.</w:t>
      </w:r>
    </w:p>
    <w:p w14:paraId="6461625F" w14:textId="77777777" w:rsidR="00EE6504" w:rsidRPr="00EE6504" w:rsidRDefault="00EE6504" w:rsidP="00EE6504">
      <w:pPr>
        <w:pStyle w:val="Akapitzlist"/>
        <w:numPr>
          <w:ilvl w:val="1"/>
          <w:numId w:val="18"/>
        </w:numPr>
        <w:spacing w:line="240" w:lineRule="auto"/>
        <w:jc w:val="both"/>
        <w:rPr>
          <w:rFonts w:ascii="Arial" w:hAnsi="Arial" w:cs="Arial"/>
          <w:sz w:val="22"/>
          <w:szCs w:val="22"/>
        </w:rPr>
      </w:pPr>
      <w:r w:rsidRPr="00EE6504">
        <w:rPr>
          <w:rFonts w:ascii="Arial" w:hAnsi="Arial" w:cs="Arial"/>
          <w:sz w:val="22"/>
          <w:szCs w:val="22"/>
        </w:rPr>
        <w:t>Wszystkie użyte biblioteki i bloki funkcyjne (FB) muszą być w pełni udokumentowane. W przypadku bloków autorskich wymagany jest nagłówek z opisem wejść/wyjść.</w:t>
      </w:r>
    </w:p>
    <w:p w14:paraId="0707D405" w14:textId="77777777" w:rsidR="00EE6504" w:rsidRPr="00EE6504" w:rsidRDefault="00EE6504" w:rsidP="00EE6504">
      <w:pPr>
        <w:rPr>
          <w:rFonts w:ascii="Arial" w:hAnsi="Arial" w:cs="Arial"/>
          <w:sz w:val="22"/>
          <w:szCs w:val="22"/>
        </w:rPr>
      </w:pPr>
      <w:r w:rsidRPr="00EE6504">
        <w:rPr>
          <w:rFonts w:ascii="Arial" w:hAnsi="Arial" w:cs="Arial"/>
          <w:sz w:val="22"/>
          <w:szCs w:val="22"/>
        </w:rPr>
        <w:t>Każda zmiana algorytmów musi zostać:</w:t>
      </w:r>
    </w:p>
    <w:p w14:paraId="525D80CF"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t>opisana w Raporcie Odstępstw (</w:t>
      </w:r>
      <w:proofErr w:type="spellStart"/>
      <w:r w:rsidRPr="00EE6504">
        <w:rPr>
          <w:rFonts w:ascii="Arial" w:hAnsi="Arial" w:cs="Arial"/>
          <w:sz w:val="22"/>
          <w:szCs w:val="22"/>
        </w:rPr>
        <w:t>Deviation</w:t>
      </w:r>
      <w:proofErr w:type="spellEnd"/>
      <w:r w:rsidRPr="00EE6504">
        <w:rPr>
          <w:rFonts w:ascii="Arial" w:hAnsi="Arial" w:cs="Arial"/>
          <w:sz w:val="22"/>
          <w:szCs w:val="22"/>
        </w:rPr>
        <w:t xml:space="preserve"> Report),</w:t>
      </w:r>
    </w:p>
    <w:p w14:paraId="6823597E"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t>poparta analizą ryzyka,</w:t>
      </w:r>
    </w:p>
    <w:p w14:paraId="2F2D1DE0"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t>zatwierdzona przez Zamawiającego,</w:t>
      </w:r>
    </w:p>
    <w:p w14:paraId="70DFF1D0"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t>wprowadzona do SOF jako rewizja dokumentu.</w:t>
      </w:r>
    </w:p>
    <w:p w14:paraId="5A4CB7CA" w14:textId="77777777" w:rsidR="00EE6504" w:rsidRPr="00EE6504" w:rsidRDefault="00EE6504" w:rsidP="00EE6504">
      <w:pPr>
        <w:rPr>
          <w:rFonts w:ascii="Arial" w:hAnsi="Arial" w:cs="Arial"/>
          <w:sz w:val="22"/>
          <w:szCs w:val="22"/>
        </w:rPr>
      </w:pPr>
      <w:r w:rsidRPr="00EE6504">
        <w:rPr>
          <w:rFonts w:ascii="Arial" w:hAnsi="Arial" w:cs="Arial"/>
          <w:sz w:val="22"/>
          <w:szCs w:val="22"/>
        </w:rPr>
        <w:t>Wykonawca ponosi pełną odpowiedzialność za:</w:t>
      </w:r>
    </w:p>
    <w:p w14:paraId="4C33AAB5" w14:textId="77777777" w:rsidR="00EE6504" w:rsidRPr="00EE6504" w:rsidRDefault="00EE6504" w:rsidP="00EE6504">
      <w:pPr>
        <w:pStyle w:val="Akapitzlist"/>
        <w:numPr>
          <w:ilvl w:val="0"/>
          <w:numId w:val="15"/>
        </w:numPr>
        <w:spacing w:line="240" w:lineRule="auto"/>
        <w:jc w:val="both"/>
        <w:rPr>
          <w:rFonts w:ascii="Arial" w:hAnsi="Arial" w:cs="Arial"/>
          <w:sz w:val="22"/>
          <w:szCs w:val="22"/>
        </w:rPr>
      </w:pPr>
      <w:r w:rsidRPr="00EE6504">
        <w:rPr>
          <w:rFonts w:ascii="Arial" w:hAnsi="Arial" w:cs="Arial"/>
          <w:sz w:val="22"/>
          <w:szCs w:val="22"/>
        </w:rPr>
        <w:t>zachowanie ciągłości technologicznej,</w:t>
      </w:r>
    </w:p>
    <w:p w14:paraId="7528B1ED" w14:textId="77777777" w:rsidR="00EE6504" w:rsidRPr="00EE6504" w:rsidRDefault="00EE6504" w:rsidP="00EE6504">
      <w:pPr>
        <w:pStyle w:val="Akapitzlist"/>
        <w:numPr>
          <w:ilvl w:val="0"/>
          <w:numId w:val="15"/>
        </w:numPr>
        <w:spacing w:line="240" w:lineRule="auto"/>
        <w:jc w:val="both"/>
        <w:rPr>
          <w:rFonts w:ascii="Arial" w:hAnsi="Arial" w:cs="Arial"/>
          <w:sz w:val="22"/>
          <w:szCs w:val="22"/>
        </w:rPr>
      </w:pPr>
      <w:r w:rsidRPr="00EE6504">
        <w:rPr>
          <w:rFonts w:ascii="Arial" w:hAnsi="Arial" w:cs="Arial"/>
          <w:sz w:val="22"/>
          <w:szCs w:val="22"/>
        </w:rPr>
        <w:t>poprawność odwzorowania algorytmów,</w:t>
      </w:r>
    </w:p>
    <w:p w14:paraId="353EB893" w14:textId="77777777" w:rsidR="00EE6504" w:rsidRPr="00EE6504" w:rsidRDefault="00EE6504" w:rsidP="00EE6504">
      <w:pPr>
        <w:pStyle w:val="Akapitzlist"/>
        <w:numPr>
          <w:ilvl w:val="0"/>
          <w:numId w:val="15"/>
        </w:numPr>
        <w:spacing w:line="240" w:lineRule="auto"/>
        <w:jc w:val="both"/>
        <w:rPr>
          <w:rFonts w:ascii="Arial" w:hAnsi="Arial" w:cs="Arial"/>
          <w:sz w:val="22"/>
          <w:szCs w:val="22"/>
        </w:rPr>
      </w:pPr>
      <w:r w:rsidRPr="00EE6504">
        <w:rPr>
          <w:rFonts w:ascii="Arial" w:hAnsi="Arial" w:cs="Arial"/>
          <w:sz w:val="22"/>
          <w:szCs w:val="22"/>
        </w:rPr>
        <w:t>brak pogorszenia parametrów procesu,</w:t>
      </w:r>
    </w:p>
    <w:p w14:paraId="423BB366" w14:textId="77777777" w:rsidR="00EE6504" w:rsidRPr="00EE6504" w:rsidRDefault="00EE6504" w:rsidP="00EE6504">
      <w:pPr>
        <w:pStyle w:val="Akapitzlist"/>
        <w:numPr>
          <w:ilvl w:val="0"/>
          <w:numId w:val="15"/>
        </w:numPr>
        <w:spacing w:line="240" w:lineRule="auto"/>
        <w:jc w:val="both"/>
        <w:rPr>
          <w:rFonts w:ascii="Arial" w:hAnsi="Arial" w:cs="Arial"/>
          <w:sz w:val="22"/>
          <w:szCs w:val="22"/>
        </w:rPr>
      </w:pPr>
      <w:r w:rsidRPr="00EE6504">
        <w:rPr>
          <w:rFonts w:ascii="Arial" w:hAnsi="Arial" w:cs="Arial"/>
          <w:sz w:val="22"/>
          <w:szCs w:val="22"/>
        </w:rPr>
        <w:t>poprawność reakcji na stany awaryjne.</w:t>
      </w:r>
    </w:p>
    <w:p w14:paraId="075E1B49" w14:textId="77777777" w:rsidR="00EE6504" w:rsidRPr="00EE6504" w:rsidRDefault="00EE6504" w:rsidP="00EE6504">
      <w:pPr>
        <w:pStyle w:val="Nagwek2"/>
        <w:numPr>
          <w:ilvl w:val="1"/>
          <w:numId w:val="10"/>
        </w:numPr>
        <w:spacing w:before="360" w:after="120" w:line="240" w:lineRule="auto"/>
        <w:jc w:val="both"/>
        <w:rPr>
          <w:rFonts w:ascii="Arial" w:hAnsi="Arial" w:cs="Arial"/>
          <w:sz w:val="22"/>
          <w:szCs w:val="22"/>
        </w:rPr>
      </w:pPr>
      <w:bookmarkStart w:id="49" w:name="_Toc231883666"/>
      <w:r w:rsidRPr="00EE6504">
        <w:rPr>
          <w:rFonts w:ascii="Arial" w:hAnsi="Arial" w:cs="Arial"/>
          <w:sz w:val="22"/>
          <w:szCs w:val="22"/>
        </w:rPr>
        <w:t>Migracja funkcjonalna</w:t>
      </w:r>
      <w:bookmarkEnd w:id="49"/>
    </w:p>
    <w:p w14:paraId="40498115"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t>Migracja systemu sterowania obejmuje wszystkie funkcje realizowane przez istniejący system automatyki przepompowni, w tym sterowanie pompami ściekowymi (11M, 12M, 13M, 14M, 15M), mieszadłami (21M, 22M), rozdrabniarkami (61M, 62M), zasuwami nożowymi wyposażonymi w napędy elektryczne AUMA (31,32,33,34,35), przepływomierzami elektromagnetycznymi (Q1–Q4), sondami poziomu VEGA PULS 61, pływakami awaryjnymi, pompką odwodnieniową.</w:t>
      </w:r>
    </w:p>
    <w:p w14:paraId="5EE9D9FE"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lastRenderedPageBreak/>
        <w:t xml:space="preserve">Wykonawca zobowiązany jest do odtworzenia wszystkich algorytmów sterowania, sekwencji pracy, blokad technologicznych, </w:t>
      </w:r>
      <w:proofErr w:type="spellStart"/>
      <w:r w:rsidRPr="00EE6504">
        <w:rPr>
          <w:rFonts w:ascii="Arial" w:hAnsi="Arial" w:cs="Arial"/>
          <w:sz w:val="22"/>
          <w:szCs w:val="22"/>
        </w:rPr>
        <w:t>interlocków</w:t>
      </w:r>
      <w:proofErr w:type="spellEnd"/>
      <w:r w:rsidRPr="00EE6504">
        <w:rPr>
          <w:rFonts w:ascii="Arial" w:hAnsi="Arial" w:cs="Arial"/>
          <w:sz w:val="22"/>
          <w:szCs w:val="22"/>
        </w:rPr>
        <w:t>, sygnałów diagnostycznych, alarmów oraz zależności funkcjonalnych występujących w istniejącym systemie sterowania, z zachowaniem zweryfikowanych w trakcie rozruchu progów poziomów ścieków jako wartości referencyjnych dla SOF.</w:t>
      </w:r>
    </w:p>
    <w:p w14:paraId="4C5CDD88"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t>Migracja obejmuje również pełne odtworzenie funkcjonalności panelu operatorskiego HMI, ekranów synoptycznych, alarmów, trendów, liczników roboczogodzin, archiwów oraz funkcji diagnostycznych dostępnych w stanie istniejącym.</w:t>
      </w:r>
    </w:p>
    <w:p w14:paraId="21AB98B4"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t>Wykonawca zobowiązany jest do wykonania pełnej dokumentacji migracyjnej obejmującej:</w:t>
      </w:r>
    </w:p>
    <w:p w14:paraId="4F0DF341" w14:textId="77777777" w:rsidR="00EE6504" w:rsidRPr="00EE6504" w:rsidRDefault="00EE6504" w:rsidP="00EE6504">
      <w:pPr>
        <w:pStyle w:val="Akapitzlist"/>
        <w:ind w:left="643"/>
        <w:rPr>
          <w:rFonts w:ascii="Arial" w:hAnsi="Arial" w:cs="Arial"/>
          <w:sz w:val="22"/>
          <w:szCs w:val="22"/>
        </w:rPr>
      </w:pPr>
    </w:p>
    <w:p w14:paraId="6539D17D"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t>mapowanie sygnałów wejściowych i wyjściowych istniejącego sterownika OMRON do nowego sterownika SIMATIC S7-1500,</w:t>
      </w:r>
    </w:p>
    <w:p w14:paraId="7626902F" w14:textId="77777777" w:rsidR="00EE6504" w:rsidRPr="00EE6504" w:rsidRDefault="00EE6504" w:rsidP="00EE6504">
      <w:pPr>
        <w:pStyle w:val="Akapitzlist"/>
        <w:numPr>
          <w:ilvl w:val="0"/>
          <w:numId w:val="16"/>
        </w:numPr>
        <w:spacing w:line="240" w:lineRule="auto"/>
        <w:jc w:val="both"/>
        <w:rPr>
          <w:rFonts w:ascii="Arial" w:hAnsi="Arial" w:cs="Arial"/>
          <w:sz w:val="22"/>
          <w:szCs w:val="22"/>
        </w:rPr>
      </w:pPr>
      <w:r w:rsidRPr="00EE6504">
        <w:rPr>
          <w:rFonts w:ascii="Arial" w:hAnsi="Arial" w:cs="Arial"/>
          <w:sz w:val="22"/>
          <w:szCs w:val="22"/>
        </w:rPr>
        <w:t>mapowanie wszystkich urządzeń technologicznych objętych migracją,</w:t>
      </w:r>
    </w:p>
    <w:p w14:paraId="40764ADE"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zestawienie zmian wprowadzonych względem systemu istniejącego,</w:t>
      </w:r>
    </w:p>
    <w:p w14:paraId="152300CA"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 xml:space="preserve">mapę rejestrów komunikacyjnych </w:t>
      </w:r>
      <w:proofErr w:type="spellStart"/>
      <w:r w:rsidRPr="00EE6504">
        <w:rPr>
          <w:rFonts w:ascii="Arial" w:hAnsi="Arial" w:cs="Arial"/>
          <w:sz w:val="22"/>
          <w:szCs w:val="22"/>
        </w:rPr>
        <w:t>Modbus</w:t>
      </w:r>
      <w:proofErr w:type="spellEnd"/>
      <w:r w:rsidRPr="00EE6504">
        <w:rPr>
          <w:rFonts w:ascii="Arial" w:hAnsi="Arial" w:cs="Arial"/>
          <w:sz w:val="22"/>
          <w:szCs w:val="22"/>
        </w:rPr>
        <w:t>,</w:t>
      </w:r>
    </w:p>
    <w:p w14:paraId="7AE20C90"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wykaz zmiennych procesowych wykorzystywanych przez system SCADA.</w:t>
      </w:r>
    </w:p>
    <w:p w14:paraId="4D08DF95" w14:textId="77777777" w:rsidR="00EE6504" w:rsidRPr="00EE6504" w:rsidRDefault="00EE6504" w:rsidP="00EE6504">
      <w:pPr>
        <w:pStyle w:val="Nagwek2"/>
        <w:numPr>
          <w:ilvl w:val="1"/>
          <w:numId w:val="10"/>
        </w:numPr>
        <w:spacing w:before="360" w:after="120" w:line="240" w:lineRule="auto"/>
        <w:jc w:val="both"/>
        <w:rPr>
          <w:rFonts w:ascii="Arial" w:hAnsi="Arial" w:cs="Arial"/>
          <w:sz w:val="22"/>
          <w:szCs w:val="22"/>
        </w:rPr>
      </w:pPr>
      <w:bookmarkStart w:id="50" w:name="_Toc231883667"/>
      <w:r w:rsidRPr="00EE6504">
        <w:rPr>
          <w:rFonts w:ascii="Arial" w:hAnsi="Arial" w:cs="Arial"/>
          <w:sz w:val="22"/>
          <w:szCs w:val="22"/>
        </w:rPr>
        <w:t>Wymagania w zakresie dodania pomiaru energii elektrycznej</w:t>
      </w:r>
      <w:bookmarkEnd w:id="50"/>
    </w:p>
    <w:p w14:paraId="687626ED" w14:textId="77777777" w:rsidR="00EE6504" w:rsidRPr="00EE6504" w:rsidRDefault="00EE6504" w:rsidP="00EE6504">
      <w:pPr>
        <w:rPr>
          <w:rFonts w:ascii="Arial" w:hAnsi="Arial" w:cs="Arial"/>
          <w:sz w:val="22"/>
          <w:szCs w:val="22"/>
        </w:rPr>
      </w:pPr>
      <w:r w:rsidRPr="00EE6504">
        <w:rPr>
          <w:rFonts w:ascii="Arial" w:hAnsi="Arial" w:cs="Arial"/>
          <w:sz w:val="22"/>
          <w:szCs w:val="22"/>
        </w:rPr>
        <w:t xml:space="preserve">Analizatory parametrów sieci elektroenergetycznej należy dobrać zgodnie z obowiązującymi normami takimi jak PN-EN 61557-12, PN-EN 61000-4-30 oraz PN-EN 50160. Wykonawca dobierze, dostarczy analizator sieci elektroenergetycznej i odpowiednie przekładniki (jeśli są konieczne), wykona montaż, podłączenie i konfigurację do układu sterowania i monitoringu. Układ powinien umożliwiać ciągły monitoring parametrów jakości energii elektrycznej na potrzeby eksploatacyjne i diagnostyczne Zamawiającego. Układ pomiaru energii elektrycznej musi zostać połączony ze sterownikiem PLC, a wyniki pomiarów muszą być dostępne do podglądu z panelu HMI oraz muszą być wystawiane ze sterownika PLC poprzez protokół </w:t>
      </w:r>
      <w:proofErr w:type="spellStart"/>
      <w:r w:rsidRPr="00EE6504">
        <w:rPr>
          <w:rFonts w:ascii="Arial" w:hAnsi="Arial" w:cs="Arial"/>
          <w:sz w:val="22"/>
          <w:szCs w:val="22"/>
        </w:rPr>
        <w:t>Modbus</w:t>
      </w:r>
      <w:proofErr w:type="spellEnd"/>
      <w:r w:rsidRPr="00EE6504">
        <w:rPr>
          <w:rFonts w:ascii="Arial" w:hAnsi="Arial" w:cs="Arial"/>
          <w:sz w:val="22"/>
          <w:szCs w:val="22"/>
        </w:rPr>
        <w:t xml:space="preserve"> RTU do systemu SCADA Zamawiającego. Rejestry </w:t>
      </w:r>
      <w:proofErr w:type="spellStart"/>
      <w:r w:rsidRPr="00EE6504">
        <w:rPr>
          <w:rFonts w:ascii="Arial" w:hAnsi="Arial" w:cs="Arial"/>
          <w:sz w:val="22"/>
          <w:szCs w:val="22"/>
        </w:rPr>
        <w:t>Modbus</w:t>
      </w:r>
      <w:proofErr w:type="spellEnd"/>
      <w:r w:rsidRPr="00EE6504">
        <w:rPr>
          <w:rFonts w:ascii="Arial" w:hAnsi="Arial" w:cs="Arial"/>
          <w:sz w:val="22"/>
          <w:szCs w:val="22"/>
        </w:rPr>
        <w:t xml:space="preserve"> wystawiane do SCADA muszą być uzgodnione z przedstawicielem Zamawiającego.</w:t>
      </w:r>
    </w:p>
    <w:p w14:paraId="17C03D19" w14:textId="77777777" w:rsidR="00EE6504" w:rsidRPr="00EE6504" w:rsidRDefault="00EE6504" w:rsidP="00EE6504">
      <w:pPr>
        <w:rPr>
          <w:rFonts w:ascii="Arial" w:hAnsi="Arial" w:cs="Arial"/>
          <w:sz w:val="22"/>
          <w:szCs w:val="22"/>
        </w:rPr>
      </w:pPr>
      <w:r w:rsidRPr="00EE6504">
        <w:rPr>
          <w:rFonts w:ascii="Arial" w:hAnsi="Arial" w:cs="Arial"/>
          <w:sz w:val="22"/>
          <w:szCs w:val="22"/>
        </w:rPr>
        <w:t>Układ pomiaru energii elektrycznej należy dobrać pod względem:</w:t>
      </w:r>
    </w:p>
    <w:p w14:paraId="44F4AA3E" w14:textId="77777777" w:rsidR="00EE6504" w:rsidRPr="00EE6504" w:rsidRDefault="00EE6504" w:rsidP="00EE6504">
      <w:pPr>
        <w:pStyle w:val="Bezodstpw"/>
        <w:numPr>
          <w:ilvl w:val="0"/>
          <w:numId w:val="17"/>
        </w:numPr>
        <w:rPr>
          <w:rFonts w:ascii="Arial" w:hAnsi="Arial" w:cs="Arial"/>
        </w:rPr>
      </w:pPr>
      <w:r w:rsidRPr="00EE6504">
        <w:rPr>
          <w:rFonts w:ascii="Arial" w:hAnsi="Arial" w:cs="Arial"/>
        </w:rPr>
        <w:t>napięcia znamionowego,</w:t>
      </w:r>
    </w:p>
    <w:p w14:paraId="7933F545" w14:textId="77777777" w:rsidR="00EE6504" w:rsidRPr="00EE6504" w:rsidRDefault="00EE6504" w:rsidP="00EE6504">
      <w:pPr>
        <w:pStyle w:val="Bezodstpw"/>
        <w:numPr>
          <w:ilvl w:val="0"/>
          <w:numId w:val="17"/>
        </w:numPr>
        <w:rPr>
          <w:rFonts w:ascii="Arial" w:hAnsi="Arial" w:cs="Arial"/>
        </w:rPr>
      </w:pPr>
      <w:r w:rsidRPr="00EE6504">
        <w:rPr>
          <w:rFonts w:ascii="Arial" w:hAnsi="Arial" w:cs="Arial"/>
        </w:rPr>
        <w:t>rodzaju sieci,</w:t>
      </w:r>
    </w:p>
    <w:p w14:paraId="595555B8" w14:textId="77777777" w:rsidR="00EE6504" w:rsidRPr="00EE6504" w:rsidRDefault="00EE6504" w:rsidP="00EE6504">
      <w:pPr>
        <w:pStyle w:val="Bezodstpw"/>
        <w:numPr>
          <w:ilvl w:val="0"/>
          <w:numId w:val="17"/>
        </w:numPr>
        <w:rPr>
          <w:rFonts w:ascii="Arial" w:hAnsi="Arial" w:cs="Arial"/>
        </w:rPr>
      </w:pPr>
      <w:r w:rsidRPr="00EE6504">
        <w:rPr>
          <w:rFonts w:ascii="Arial" w:hAnsi="Arial" w:cs="Arial"/>
        </w:rPr>
        <w:t>sposobu pomiaru prądu,</w:t>
      </w:r>
    </w:p>
    <w:p w14:paraId="39C66536" w14:textId="77777777" w:rsidR="00EE6504" w:rsidRPr="00EE6504" w:rsidRDefault="00EE6504" w:rsidP="00EE6504">
      <w:pPr>
        <w:pStyle w:val="Bezodstpw"/>
        <w:numPr>
          <w:ilvl w:val="0"/>
          <w:numId w:val="17"/>
        </w:numPr>
        <w:rPr>
          <w:rFonts w:ascii="Arial" w:hAnsi="Arial" w:cs="Arial"/>
        </w:rPr>
      </w:pPr>
      <w:r w:rsidRPr="00EE6504">
        <w:rPr>
          <w:rFonts w:ascii="Arial" w:hAnsi="Arial" w:cs="Arial"/>
        </w:rPr>
        <w:t>współpracy z przekładnikami prądowymi,</w:t>
      </w:r>
    </w:p>
    <w:p w14:paraId="0B259BA4" w14:textId="77777777" w:rsidR="00EE6504" w:rsidRPr="00EE6504" w:rsidRDefault="00EE6504" w:rsidP="00EE6504">
      <w:pPr>
        <w:pStyle w:val="Bezodstpw"/>
        <w:numPr>
          <w:ilvl w:val="0"/>
          <w:numId w:val="17"/>
        </w:numPr>
        <w:rPr>
          <w:rFonts w:ascii="Arial" w:hAnsi="Arial" w:cs="Arial"/>
        </w:rPr>
      </w:pPr>
      <w:r w:rsidRPr="00EE6504">
        <w:rPr>
          <w:rFonts w:ascii="Arial" w:hAnsi="Arial" w:cs="Arial"/>
        </w:rPr>
        <w:t>doboru przekładników prądowych,</w:t>
      </w:r>
    </w:p>
    <w:p w14:paraId="3CD09FF2" w14:textId="77777777" w:rsidR="00EE6504" w:rsidRPr="00EE6504" w:rsidRDefault="00EE6504" w:rsidP="00EE6504">
      <w:pPr>
        <w:pStyle w:val="Bezodstpw"/>
        <w:numPr>
          <w:ilvl w:val="0"/>
          <w:numId w:val="17"/>
        </w:numPr>
        <w:rPr>
          <w:rFonts w:ascii="Arial" w:hAnsi="Arial" w:cs="Arial"/>
        </w:rPr>
      </w:pPr>
      <w:r w:rsidRPr="00EE6504">
        <w:rPr>
          <w:rFonts w:ascii="Arial" w:hAnsi="Arial" w:cs="Arial"/>
        </w:rPr>
        <w:t>wartości przewidywanego prądu roboczego,</w:t>
      </w:r>
    </w:p>
    <w:p w14:paraId="2A94D7B0" w14:textId="77777777" w:rsidR="00EE6504" w:rsidRPr="00EE6504" w:rsidRDefault="00EE6504" w:rsidP="00EE6504">
      <w:pPr>
        <w:pStyle w:val="Bezodstpw"/>
        <w:numPr>
          <w:ilvl w:val="0"/>
          <w:numId w:val="17"/>
        </w:numPr>
        <w:rPr>
          <w:rFonts w:ascii="Arial" w:hAnsi="Arial" w:cs="Arial"/>
        </w:rPr>
      </w:pPr>
      <w:r w:rsidRPr="00EE6504">
        <w:rPr>
          <w:rFonts w:ascii="Arial" w:hAnsi="Arial" w:cs="Arial"/>
        </w:rPr>
        <w:t>wymaganej klasy dokładności,</w:t>
      </w:r>
    </w:p>
    <w:p w14:paraId="2B234D6F" w14:textId="77777777" w:rsidR="00EE6504" w:rsidRPr="00EE6504" w:rsidRDefault="00EE6504" w:rsidP="00EE6504">
      <w:pPr>
        <w:pStyle w:val="Bezodstpw"/>
        <w:numPr>
          <w:ilvl w:val="0"/>
          <w:numId w:val="17"/>
        </w:numPr>
        <w:rPr>
          <w:rFonts w:ascii="Arial" w:hAnsi="Arial" w:cs="Arial"/>
        </w:rPr>
      </w:pPr>
      <w:r w:rsidRPr="00EE6504">
        <w:rPr>
          <w:rFonts w:ascii="Arial" w:hAnsi="Arial" w:cs="Arial"/>
        </w:rPr>
        <w:t>zakresu monitorowanych parametrów jakości energii.</w:t>
      </w:r>
    </w:p>
    <w:p w14:paraId="045E74A5" w14:textId="77777777" w:rsidR="00EE6504" w:rsidRPr="00EE6504" w:rsidRDefault="00EE6504" w:rsidP="00EE6504">
      <w:pPr>
        <w:spacing w:before="240"/>
        <w:rPr>
          <w:rFonts w:ascii="Arial" w:hAnsi="Arial" w:cs="Arial"/>
          <w:sz w:val="22"/>
          <w:szCs w:val="22"/>
        </w:rPr>
      </w:pPr>
      <w:r w:rsidRPr="00EE6504">
        <w:rPr>
          <w:rFonts w:ascii="Arial" w:hAnsi="Arial" w:cs="Arial"/>
          <w:sz w:val="22"/>
          <w:szCs w:val="22"/>
        </w:rPr>
        <w:t>Przekładniki prądowe należy dobrać w taki sposób, aby przewidywany prąd roboczy mieścił się w zakresie 40–80% prądu znamionowego przekładnika. Wymagana klasa dokładności przekładników prądowych: minimum 0,5S wg IEC 60044-1 / PN-EN 61869-2.</w:t>
      </w:r>
    </w:p>
    <w:p w14:paraId="36AD7ED6" w14:textId="77777777" w:rsidR="00EE6504" w:rsidRPr="00EE6504" w:rsidRDefault="00EE6504" w:rsidP="00EE6504">
      <w:pPr>
        <w:pStyle w:val="Bezodstpw"/>
        <w:spacing w:after="240"/>
        <w:rPr>
          <w:rFonts w:ascii="Arial" w:eastAsiaTheme="majorEastAsia" w:hAnsi="Arial" w:cs="Arial"/>
        </w:rPr>
      </w:pPr>
      <w:r w:rsidRPr="00EE6504">
        <w:rPr>
          <w:rFonts w:ascii="Arial" w:eastAsiaTheme="majorEastAsia" w:hAnsi="Arial" w:cs="Arial"/>
        </w:rPr>
        <w:t>Wymagania techniczne analizatora sieci elektroenergetycznej:</w:t>
      </w:r>
    </w:p>
    <w:p w14:paraId="38E7A79E"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Wyświetlacz: LED/LCD umożliwiający odczyt zużycia energii, napięć, prądów i innych parametrów mierzonych</w:t>
      </w:r>
    </w:p>
    <w:p w14:paraId="2A162401"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Kompatybilność z dostarczonym przez Zamawiającego sterownikiem PLC</w:t>
      </w:r>
    </w:p>
    <w:p w14:paraId="2E6FF868"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 xml:space="preserve">Producent musi zapewniać dokumentację protokołu komunikacyjnego (mapa rejestrów </w:t>
      </w:r>
      <w:proofErr w:type="spellStart"/>
      <w:r w:rsidRPr="00EE6504">
        <w:rPr>
          <w:rFonts w:ascii="Arial" w:eastAsiaTheme="majorEastAsia" w:hAnsi="Arial" w:cs="Arial"/>
        </w:rPr>
        <w:t>Modbus</w:t>
      </w:r>
      <w:proofErr w:type="spellEnd"/>
      <w:r w:rsidRPr="00EE6504">
        <w:rPr>
          <w:rFonts w:ascii="Arial" w:eastAsiaTheme="majorEastAsia" w:hAnsi="Arial" w:cs="Arial"/>
        </w:rPr>
        <w:t>)</w:t>
      </w:r>
    </w:p>
    <w:p w14:paraId="1899708C"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Wilgotność względna: do 95%</w:t>
      </w:r>
    </w:p>
    <w:p w14:paraId="517F5844"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Temperatura pracy: minimum od -20°C do +55°C</w:t>
      </w:r>
    </w:p>
    <w:p w14:paraId="1D6A0564"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Kategoria przepięciowa: minimum CAT III</w:t>
      </w:r>
    </w:p>
    <w:p w14:paraId="075D9B42"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lastRenderedPageBreak/>
        <w:t>Certyfikat zgodności z dyrektywą MID. Wymagana klasa dokładności pomiaru energii czynnej: minimum klasa 1 wg PN-EN 61557-12 / IEC 61557-12. Wymagana klasa dokładności pomiaru energii biernej: minimum klasa 2.</w:t>
      </w:r>
    </w:p>
    <w:p w14:paraId="2D19E2DB"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Montaż: szyna DIN TH35</w:t>
      </w:r>
    </w:p>
    <w:p w14:paraId="5520C805"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Odporność na zakłócenia elektromagnetyczne zgodna z obowiązującymi normami</w:t>
      </w:r>
    </w:p>
    <w:p w14:paraId="65A64733"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Zakres wskazań: minimum 0 – 999999 kWh</w:t>
      </w:r>
    </w:p>
    <w:p w14:paraId="37065222" w14:textId="77777777" w:rsidR="00EE6504" w:rsidRPr="00EE6504" w:rsidRDefault="00EE6504" w:rsidP="00EE6504">
      <w:pPr>
        <w:pStyle w:val="Bezodstpw"/>
        <w:numPr>
          <w:ilvl w:val="0"/>
          <w:numId w:val="13"/>
        </w:numPr>
        <w:rPr>
          <w:rFonts w:ascii="Arial" w:eastAsiaTheme="majorEastAsia" w:hAnsi="Arial" w:cs="Arial"/>
        </w:rPr>
      </w:pPr>
      <w:r w:rsidRPr="00EE6504">
        <w:rPr>
          <w:rFonts w:ascii="Arial" w:eastAsiaTheme="majorEastAsia" w:hAnsi="Arial" w:cs="Arial"/>
        </w:rPr>
        <w:t>Pomiar co najmniej wartości: energii czynnej (kWh), energii biernej (</w:t>
      </w:r>
      <w:proofErr w:type="spellStart"/>
      <w:r w:rsidRPr="00EE6504">
        <w:rPr>
          <w:rFonts w:ascii="Arial" w:eastAsiaTheme="majorEastAsia" w:hAnsi="Arial" w:cs="Arial"/>
        </w:rPr>
        <w:t>kvarh</w:t>
      </w:r>
      <w:proofErr w:type="spellEnd"/>
      <w:r w:rsidRPr="00EE6504">
        <w:rPr>
          <w:rFonts w:ascii="Arial" w:eastAsiaTheme="majorEastAsia" w:hAnsi="Arial" w:cs="Arial"/>
        </w:rPr>
        <w:t>), napięć na poszczególnych fazach, prądów poszczególnych faz, mocy czynnej, biernej i pozornej, współczynnika mocy (cos φ), częstotliwości.</w:t>
      </w:r>
    </w:p>
    <w:p w14:paraId="0889BDB1" w14:textId="77777777" w:rsidR="00EE6504" w:rsidRPr="00EE6504" w:rsidRDefault="00EE6504" w:rsidP="00EE6504">
      <w:pPr>
        <w:pStyle w:val="Nagwek2"/>
        <w:numPr>
          <w:ilvl w:val="1"/>
          <w:numId w:val="10"/>
        </w:numPr>
        <w:spacing w:before="360" w:after="120" w:line="240" w:lineRule="auto"/>
        <w:jc w:val="both"/>
        <w:rPr>
          <w:rFonts w:ascii="Arial" w:hAnsi="Arial" w:cs="Arial"/>
          <w:sz w:val="22"/>
          <w:szCs w:val="22"/>
        </w:rPr>
      </w:pPr>
      <w:bookmarkStart w:id="51" w:name="_Toc231883668"/>
      <w:r w:rsidRPr="00EE6504">
        <w:rPr>
          <w:rFonts w:ascii="Arial" w:hAnsi="Arial" w:cs="Arial"/>
          <w:sz w:val="22"/>
          <w:szCs w:val="22"/>
        </w:rPr>
        <w:t>Wymagania funkcjonalne</w:t>
      </w:r>
      <w:bookmarkEnd w:id="51"/>
    </w:p>
    <w:p w14:paraId="273EF2E3" w14:textId="77777777" w:rsidR="00EE6504" w:rsidRPr="00EE6504" w:rsidRDefault="00EE6504" w:rsidP="00EE6504">
      <w:pPr>
        <w:rPr>
          <w:rFonts w:ascii="Arial" w:hAnsi="Arial" w:cs="Arial"/>
          <w:sz w:val="22"/>
          <w:szCs w:val="22"/>
        </w:rPr>
      </w:pPr>
      <w:r w:rsidRPr="00EE6504">
        <w:rPr>
          <w:rFonts w:ascii="Arial" w:hAnsi="Arial" w:cs="Arial"/>
          <w:sz w:val="22"/>
          <w:szCs w:val="22"/>
        </w:rPr>
        <w:t>Wymagane jest pełne odtworzenie logiki pracy obiektu, w tym:</w:t>
      </w:r>
    </w:p>
    <w:p w14:paraId="34F8C229" w14:textId="77777777" w:rsidR="00EE6504" w:rsidRPr="00EE6504" w:rsidRDefault="00EE6504" w:rsidP="00EE6504">
      <w:pPr>
        <w:pStyle w:val="Akapitzlist"/>
        <w:numPr>
          <w:ilvl w:val="0"/>
          <w:numId w:val="11"/>
        </w:numPr>
        <w:spacing w:line="240" w:lineRule="auto"/>
        <w:jc w:val="both"/>
        <w:rPr>
          <w:rFonts w:ascii="Arial" w:hAnsi="Arial" w:cs="Arial"/>
          <w:sz w:val="22"/>
          <w:szCs w:val="22"/>
        </w:rPr>
      </w:pPr>
      <w:r w:rsidRPr="00EE6504">
        <w:rPr>
          <w:rFonts w:ascii="Arial" w:hAnsi="Arial" w:cs="Arial"/>
          <w:sz w:val="22"/>
          <w:szCs w:val="22"/>
        </w:rPr>
        <w:t>naprzemiennego trybu pracy pomp,</w:t>
      </w:r>
    </w:p>
    <w:p w14:paraId="463D749D" w14:textId="77777777" w:rsidR="00EE6504" w:rsidRPr="00EE6504" w:rsidRDefault="00EE6504" w:rsidP="00EE6504">
      <w:pPr>
        <w:pStyle w:val="Akapitzlist"/>
        <w:numPr>
          <w:ilvl w:val="0"/>
          <w:numId w:val="11"/>
        </w:numPr>
        <w:spacing w:line="240" w:lineRule="auto"/>
        <w:jc w:val="both"/>
        <w:rPr>
          <w:rFonts w:ascii="Arial" w:hAnsi="Arial" w:cs="Arial"/>
          <w:sz w:val="22"/>
          <w:szCs w:val="22"/>
        </w:rPr>
      </w:pPr>
      <w:r w:rsidRPr="00EE6504">
        <w:rPr>
          <w:rFonts w:ascii="Arial" w:hAnsi="Arial" w:cs="Arial"/>
          <w:sz w:val="22"/>
          <w:szCs w:val="22"/>
        </w:rPr>
        <w:t>sterowania mieszadłami,</w:t>
      </w:r>
    </w:p>
    <w:p w14:paraId="3EAF7D15" w14:textId="77777777" w:rsidR="00EE6504" w:rsidRPr="00EE6504" w:rsidRDefault="00EE6504" w:rsidP="00EE6504">
      <w:pPr>
        <w:pStyle w:val="Akapitzlist"/>
        <w:numPr>
          <w:ilvl w:val="0"/>
          <w:numId w:val="11"/>
        </w:numPr>
        <w:spacing w:line="240" w:lineRule="auto"/>
        <w:jc w:val="both"/>
        <w:rPr>
          <w:rFonts w:ascii="Arial" w:hAnsi="Arial" w:cs="Arial"/>
          <w:sz w:val="22"/>
          <w:szCs w:val="22"/>
        </w:rPr>
      </w:pPr>
      <w:r w:rsidRPr="00EE6504">
        <w:rPr>
          <w:rFonts w:ascii="Arial" w:hAnsi="Arial" w:cs="Arial"/>
          <w:sz w:val="22"/>
          <w:szCs w:val="22"/>
        </w:rPr>
        <w:t>pracy rozdrabniarek,</w:t>
      </w:r>
    </w:p>
    <w:p w14:paraId="6D5E647F" w14:textId="77777777" w:rsidR="00EE6504" w:rsidRPr="00EE6504" w:rsidRDefault="00EE6504" w:rsidP="00EE6504">
      <w:pPr>
        <w:pStyle w:val="Akapitzlist"/>
        <w:numPr>
          <w:ilvl w:val="0"/>
          <w:numId w:val="11"/>
        </w:numPr>
        <w:spacing w:line="240" w:lineRule="auto"/>
        <w:jc w:val="both"/>
        <w:rPr>
          <w:rFonts w:ascii="Arial" w:hAnsi="Arial" w:cs="Arial"/>
          <w:sz w:val="22"/>
          <w:szCs w:val="22"/>
        </w:rPr>
      </w:pPr>
      <w:r w:rsidRPr="00EE6504">
        <w:rPr>
          <w:rFonts w:ascii="Arial" w:hAnsi="Arial" w:cs="Arial"/>
          <w:sz w:val="22"/>
          <w:szCs w:val="22"/>
        </w:rPr>
        <w:t>sterowania w funkcji poziomu ścieków,</w:t>
      </w:r>
    </w:p>
    <w:p w14:paraId="59423C1E" w14:textId="77777777" w:rsidR="00EE6504" w:rsidRPr="00EE6504" w:rsidRDefault="00EE6504" w:rsidP="00EE6504">
      <w:pPr>
        <w:pStyle w:val="Akapitzlist"/>
        <w:numPr>
          <w:ilvl w:val="0"/>
          <w:numId w:val="11"/>
        </w:numPr>
        <w:spacing w:line="240" w:lineRule="auto"/>
        <w:jc w:val="both"/>
        <w:rPr>
          <w:rFonts w:ascii="Arial" w:hAnsi="Arial" w:cs="Arial"/>
          <w:sz w:val="22"/>
          <w:szCs w:val="22"/>
        </w:rPr>
      </w:pPr>
      <w:r w:rsidRPr="00EE6504">
        <w:rPr>
          <w:rFonts w:ascii="Arial" w:hAnsi="Arial" w:cs="Arial"/>
          <w:sz w:val="22"/>
          <w:szCs w:val="22"/>
        </w:rPr>
        <w:t>współpracy z układem rozdziału ścieków,</w:t>
      </w:r>
    </w:p>
    <w:p w14:paraId="5D093EF6" w14:textId="77777777" w:rsidR="00EE6504" w:rsidRPr="00EE6504" w:rsidRDefault="00EE6504" w:rsidP="00EE6504">
      <w:pPr>
        <w:pStyle w:val="Akapitzlist"/>
        <w:numPr>
          <w:ilvl w:val="0"/>
          <w:numId w:val="11"/>
        </w:numPr>
        <w:spacing w:line="240" w:lineRule="auto"/>
        <w:jc w:val="both"/>
        <w:rPr>
          <w:rFonts w:ascii="Arial" w:hAnsi="Arial" w:cs="Arial"/>
          <w:sz w:val="22"/>
          <w:szCs w:val="22"/>
        </w:rPr>
      </w:pPr>
      <w:r w:rsidRPr="00EE6504">
        <w:rPr>
          <w:rFonts w:ascii="Arial" w:hAnsi="Arial" w:cs="Arial"/>
          <w:sz w:val="22"/>
          <w:szCs w:val="22"/>
        </w:rPr>
        <w:t>obsługi przelewów awaryjnych,</w:t>
      </w:r>
    </w:p>
    <w:p w14:paraId="46C14B11" w14:textId="77777777" w:rsidR="00EE6504" w:rsidRPr="00EE6504" w:rsidRDefault="00EE6504" w:rsidP="00EE6504">
      <w:pPr>
        <w:pStyle w:val="Akapitzlist"/>
        <w:numPr>
          <w:ilvl w:val="0"/>
          <w:numId w:val="11"/>
        </w:numPr>
        <w:spacing w:line="240" w:lineRule="auto"/>
        <w:jc w:val="both"/>
        <w:rPr>
          <w:rFonts w:ascii="Arial" w:hAnsi="Arial" w:cs="Arial"/>
          <w:sz w:val="22"/>
          <w:szCs w:val="22"/>
        </w:rPr>
      </w:pPr>
      <w:r w:rsidRPr="00EE6504">
        <w:rPr>
          <w:rFonts w:ascii="Arial" w:hAnsi="Arial" w:cs="Arial"/>
          <w:sz w:val="22"/>
          <w:szCs w:val="22"/>
        </w:rPr>
        <w:t>pracy w warunkach zmiennych dopływów i przeciążeń hydraulicznych,</w:t>
      </w:r>
    </w:p>
    <w:p w14:paraId="0069B401" w14:textId="77777777" w:rsidR="00EE6504" w:rsidRPr="00EE6504" w:rsidRDefault="00EE6504" w:rsidP="00EE6504">
      <w:pPr>
        <w:pStyle w:val="Akapitzlist"/>
        <w:numPr>
          <w:ilvl w:val="0"/>
          <w:numId w:val="11"/>
        </w:numPr>
        <w:spacing w:line="240" w:lineRule="auto"/>
        <w:jc w:val="both"/>
        <w:rPr>
          <w:rFonts w:ascii="Arial" w:hAnsi="Arial" w:cs="Arial"/>
          <w:sz w:val="22"/>
          <w:szCs w:val="22"/>
        </w:rPr>
      </w:pPr>
      <w:r w:rsidRPr="00EE6504">
        <w:rPr>
          <w:rFonts w:ascii="Arial" w:hAnsi="Arial" w:cs="Arial"/>
          <w:sz w:val="22"/>
          <w:szCs w:val="22"/>
        </w:rPr>
        <w:t>wszystkich parametrów technologicznych:</w:t>
      </w:r>
    </w:p>
    <w:p w14:paraId="722B4242" w14:textId="77777777" w:rsidR="00EE6504" w:rsidRPr="00EE6504" w:rsidRDefault="00EE6504" w:rsidP="00EE6504">
      <w:pPr>
        <w:pStyle w:val="Akapitzlist"/>
        <w:numPr>
          <w:ilvl w:val="1"/>
          <w:numId w:val="11"/>
        </w:numPr>
        <w:spacing w:line="240" w:lineRule="auto"/>
        <w:jc w:val="both"/>
        <w:rPr>
          <w:rFonts w:ascii="Arial" w:hAnsi="Arial" w:cs="Arial"/>
          <w:sz w:val="22"/>
          <w:szCs w:val="22"/>
        </w:rPr>
      </w:pPr>
      <w:r w:rsidRPr="00EE6504">
        <w:rPr>
          <w:rFonts w:ascii="Arial" w:hAnsi="Arial" w:cs="Arial"/>
          <w:sz w:val="22"/>
          <w:szCs w:val="22"/>
        </w:rPr>
        <w:t>poziomów załączeń i włączeń pomp i mieszadeł,</w:t>
      </w:r>
    </w:p>
    <w:p w14:paraId="0099CB27" w14:textId="77777777" w:rsidR="00EE6504" w:rsidRPr="00EE6504" w:rsidRDefault="00EE6504" w:rsidP="00EE6504">
      <w:pPr>
        <w:pStyle w:val="Akapitzlist"/>
        <w:numPr>
          <w:ilvl w:val="1"/>
          <w:numId w:val="11"/>
        </w:numPr>
        <w:spacing w:line="240" w:lineRule="auto"/>
        <w:jc w:val="both"/>
        <w:rPr>
          <w:rFonts w:ascii="Arial" w:hAnsi="Arial" w:cs="Arial"/>
          <w:sz w:val="22"/>
          <w:szCs w:val="22"/>
        </w:rPr>
      </w:pPr>
      <w:r w:rsidRPr="00EE6504">
        <w:rPr>
          <w:rFonts w:ascii="Arial" w:hAnsi="Arial" w:cs="Arial"/>
          <w:sz w:val="22"/>
          <w:szCs w:val="22"/>
        </w:rPr>
        <w:t>progów alarmowych i awaryjnych,</w:t>
      </w:r>
    </w:p>
    <w:p w14:paraId="27134BB2" w14:textId="77777777" w:rsidR="00EE6504" w:rsidRPr="00EE6504" w:rsidRDefault="00EE6504" w:rsidP="00EE6504">
      <w:pPr>
        <w:pStyle w:val="Akapitzlist"/>
        <w:numPr>
          <w:ilvl w:val="1"/>
          <w:numId w:val="11"/>
        </w:numPr>
        <w:spacing w:line="240" w:lineRule="auto"/>
        <w:jc w:val="both"/>
        <w:rPr>
          <w:rFonts w:ascii="Arial" w:hAnsi="Arial" w:cs="Arial"/>
          <w:sz w:val="22"/>
          <w:szCs w:val="22"/>
        </w:rPr>
      </w:pPr>
      <w:r w:rsidRPr="00EE6504">
        <w:rPr>
          <w:rFonts w:ascii="Arial" w:hAnsi="Arial" w:cs="Arial"/>
          <w:sz w:val="22"/>
          <w:szCs w:val="22"/>
        </w:rPr>
        <w:t xml:space="preserve">poziomów przelewów i </w:t>
      </w:r>
      <w:proofErr w:type="spellStart"/>
      <w:r w:rsidRPr="00EE6504">
        <w:rPr>
          <w:rFonts w:ascii="Arial" w:hAnsi="Arial" w:cs="Arial"/>
          <w:sz w:val="22"/>
          <w:szCs w:val="22"/>
        </w:rPr>
        <w:t>suchobiegów</w:t>
      </w:r>
      <w:proofErr w:type="spellEnd"/>
      <w:r w:rsidRPr="00EE6504">
        <w:rPr>
          <w:rFonts w:ascii="Arial" w:hAnsi="Arial" w:cs="Arial"/>
          <w:sz w:val="22"/>
          <w:szCs w:val="22"/>
        </w:rPr>
        <w:t>,</w:t>
      </w:r>
    </w:p>
    <w:p w14:paraId="2A4BABCE" w14:textId="77777777" w:rsidR="00EE6504" w:rsidRPr="00EE6504" w:rsidRDefault="00EE6504" w:rsidP="00EE6504">
      <w:pPr>
        <w:pStyle w:val="Akapitzlist"/>
        <w:numPr>
          <w:ilvl w:val="1"/>
          <w:numId w:val="11"/>
        </w:numPr>
        <w:spacing w:line="240" w:lineRule="auto"/>
        <w:jc w:val="both"/>
        <w:rPr>
          <w:rFonts w:ascii="Arial" w:hAnsi="Arial" w:cs="Arial"/>
          <w:sz w:val="22"/>
          <w:szCs w:val="22"/>
        </w:rPr>
      </w:pPr>
      <w:r w:rsidRPr="00EE6504">
        <w:rPr>
          <w:rFonts w:ascii="Arial" w:hAnsi="Arial" w:cs="Arial"/>
          <w:sz w:val="22"/>
          <w:szCs w:val="22"/>
        </w:rPr>
        <w:t>parametrów czasowych.</w:t>
      </w:r>
    </w:p>
    <w:p w14:paraId="340ACF65" w14:textId="77777777" w:rsidR="00EE6504" w:rsidRPr="00EE6504" w:rsidRDefault="00EE6504" w:rsidP="00EE6504">
      <w:pPr>
        <w:rPr>
          <w:rFonts w:ascii="Arial" w:hAnsi="Arial" w:cs="Arial"/>
          <w:sz w:val="22"/>
          <w:szCs w:val="22"/>
        </w:rPr>
      </w:pPr>
      <w:r w:rsidRPr="00EE6504">
        <w:rPr>
          <w:rFonts w:ascii="Arial" w:hAnsi="Arial" w:cs="Arial"/>
          <w:sz w:val="22"/>
          <w:szCs w:val="22"/>
        </w:rPr>
        <w:t>Wymagane jest zapewnienie pracy:</w:t>
      </w:r>
    </w:p>
    <w:p w14:paraId="1DC337D0" w14:textId="77777777" w:rsidR="00EE6504" w:rsidRPr="00EE6504" w:rsidRDefault="00EE6504" w:rsidP="00EE6504">
      <w:pPr>
        <w:pStyle w:val="Akapitzlist"/>
        <w:numPr>
          <w:ilvl w:val="0"/>
          <w:numId w:val="12"/>
        </w:numPr>
        <w:spacing w:line="240" w:lineRule="auto"/>
        <w:jc w:val="both"/>
        <w:rPr>
          <w:rFonts w:ascii="Arial" w:hAnsi="Arial" w:cs="Arial"/>
          <w:sz w:val="22"/>
          <w:szCs w:val="22"/>
        </w:rPr>
      </w:pPr>
      <w:r w:rsidRPr="00EE6504">
        <w:rPr>
          <w:rFonts w:ascii="Arial" w:hAnsi="Arial" w:cs="Arial"/>
          <w:sz w:val="22"/>
          <w:szCs w:val="22"/>
        </w:rPr>
        <w:t xml:space="preserve">w warunkach rzeczywistych, </w:t>
      </w:r>
    </w:p>
    <w:p w14:paraId="6540E7C9" w14:textId="77777777" w:rsidR="00EE6504" w:rsidRPr="00EE6504" w:rsidRDefault="00EE6504" w:rsidP="00EE6504">
      <w:pPr>
        <w:pStyle w:val="Akapitzlist"/>
        <w:numPr>
          <w:ilvl w:val="0"/>
          <w:numId w:val="12"/>
        </w:numPr>
        <w:spacing w:line="240" w:lineRule="auto"/>
        <w:jc w:val="both"/>
        <w:rPr>
          <w:rFonts w:ascii="Arial" w:hAnsi="Arial" w:cs="Arial"/>
          <w:sz w:val="22"/>
          <w:szCs w:val="22"/>
        </w:rPr>
      </w:pPr>
      <w:r w:rsidRPr="00EE6504">
        <w:rPr>
          <w:rFonts w:ascii="Arial" w:hAnsi="Arial" w:cs="Arial"/>
          <w:sz w:val="22"/>
          <w:szCs w:val="22"/>
        </w:rPr>
        <w:t xml:space="preserve">w pełnym zakresie dopływów ścieków, </w:t>
      </w:r>
    </w:p>
    <w:p w14:paraId="0608FB94" w14:textId="77777777" w:rsidR="00EE6504" w:rsidRPr="00EE6504" w:rsidRDefault="00EE6504" w:rsidP="00EE6504">
      <w:pPr>
        <w:pStyle w:val="Akapitzlist"/>
        <w:numPr>
          <w:ilvl w:val="0"/>
          <w:numId w:val="12"/>
        </w:numPr>
        <w:spacing w:line="240" w:lineRule="auto"/>
        <w:jc w:val="both"/>
        <w:rPr>
          <w:rFonts w:ascii="Arial" w:hAnsi="Arial" w:cs="Arial"/>
          <w:sz w:val="22"/>
          <w:szCs w:val="22"/>
        </w:rPr>
      </w:pPr>
      <w:r w:rsidRPr="00EE6504">
        <w:rPr>
          <w:rFonts w:ascii="Arial" w:hAnsi="Arial" w:cs="Arial"/>
          <w:sz w:val="22"/>
          <w:szCs w:val="22"/>
        </w:rPr>
        <w:t xml:space="preserve">w warunkach przeciążenia hydraulicznego, </w:t>
      </w:r>
    </w:p>
    <w:p w14:paraId="21A807A0" w14:textId="77777777" w:rsidR="00EE6504" w:rsidRPr="00EE6504" w:rsidRDefault="00EE6504" w:rsidP="00EE6504">
      <w:pPr>
        <w:pStyle w:val="Akapitzlist"/>
        <w:numPr>
          <w:ilvl w:val="0"/>
          <w:numId w:val="12"/>
        </w:numPr>
        <w:spacing w:line="240" w:lineRule="auto"/>
        <w:jc w:val="both"/>
        <w:rPr>
          <w:rFonts w:ascii="Arial" w:hAnsi="Arial" w:cs="Arial"/>
          <w:sz w:val="22"/>
          <w:szCs w:val="22"/>
        </w:rPr>
      </w:pPr>
      <w:r w:rsidRPr="00EE6504">
        <w:rPr>
          <w:rFonts w:ascii="Arial" w:hAnsi="Arial" w:cs="Arial"/>
          <w:sz w:val="22"/>
          <w:szCs w:val="22"/>
        </w:rPr>
        <w:t>w stanach awaryjnych.</w:t>
      </w:r>
    </w:p>
    <w:p w14:paraId="46395B11" w14:textId="77777777" w:rsidR="00EE6504" w:rsidRPr="00EE6504" w:rsidRDefault="00EE6504" w:rsidP="00EE6504">
      <w:pPr>
        <w:rPr>
          <w:rFonts w:ascii="Arial" w:hAnsi="Arial" w:cs="Arial"/>
          <w:sz w:val="22"/>
          <w:szCs w:val="22"/>
        </w:rPr>
      </w:pPr>
      <w:r w:rsidRPr="00EE6504">
        <w:rPr>
          <w:rFonts w:ascii="Arial" w:hAnsi="Arial" w:cs="Arial"/>
          <w:sz w:val="22"/>
          <w:szCs w:val="22"/>
        </w:rPr>
        <w:t>Nie dopuszcza się pogorszenia parametrów pracy przepompowni w stosunku do stanu istniejącego.</w:t>
      </w:r>
    </w:p>
    <w:p w14:paraId="21678221" w14:textId="77777777" w:rsidR="00EE6504" w:rsidRPr="00EE6504" w:rsidRDefault="00EE6504" w:rsidP="00EE6504">
      <w:pPr>
        <w:pStyle w:val="Nagwek2"/>
        <w:numPr>
          <w:ilvl w:val="1"/>
          <w:numId w:val="10"/>
        </w:numPr>
        <w:spacing w:before="360" w:after="120" w:line="240" w:lineRule="auto"/>
        <w:jc w:val="both"/>
        <w:rPr>
          <w:rFonts w:ascii="Arial" w:hAnsi="Arial" w:cs="Arial"/>
          <w:sz w:val="22"/>
          <w:szCs w:val="22"/>
        </w:rPr>
      </w:pPr>
      <w:bookmarkStart w:id="52" w:name="_Toc231883669"/>
      <w:r w:rsidRPr="00EE6504">
        <w:rPr>
          <w:rFonts w:ascii="Arial" w:hAnsi="Arial" w:cs="Arial"/>
          <w:sz w:val="22"/>
          <w:szCs w:val="22"/>
        </w:rPr>
        <w:t>Komunikacja</w:t>
      </w:r>
      <w:bookmarkEnd w:id="52"/>
    </w:p>
    <w:p w14:paraId="1AF7F57F" w14:textId="77777777" w:rsidR="00EE6504" w:rsidRPr="00EE6504" w:rsidRDefault="00EE6504" w:rsidP="00EE6504">
      <w:pPr>
        <w:rPr>
          <w:rFonts w:ascii="Arial" w:hAnsi="Arial" w:cs="Arial"/>
          <w:sz w:val="22"/>
          <w:szCs w:val="22"/>
        </w:rPr>
      </w:pPr>
      <w:r w:rsidRPr="00EE6504">
        <w:rPr>
          <w:rFonts w:ascii="Arial" w:hAnsi="Arial" w:cs="Arial"/>
          <w:sz w:val="22"/>
          <w:szCs w:val="22"/>
        </w:rPr>
        <w:t xml:space="preserve">Należy zachować istniejącą komunikację systemu sterowania z systemem nadrzędnym SCADA Zamawiającego, przy jednoczesnym rozbudowaniu jej o kolejne monitorowane parametry pomiaru energii elektrycznej. Migracja sterownika PLC przepompowni nie może wymagać żadnych modyfikacji istniejącego systemu SCADA Zamawiającego, w tym sterownika telemetrycznego, oprogramowania SCADA ani istniejącej struktury rejestrów </w:t>
      </w:r>
      <w:proofErr w:type="spellStart"/>
      <w:r w:rsidRPr="00EE6504">
        <w:rPr>
          <w:rFonts w:ascii="Arial" w:hAnsi="Arial" w:cs="Arial"/>
          <w:sz w:val="22"/>
          <w:szCs w:val="22"/>
        </w:rPr>
        <w:t>Modbus</w:t>
      </w:r>
      <w:proofErr w:type="spellEnd"/>
      <w:r w:rsidRPr="00EE6504">
        <w:rPr>
          <w:rFonts w:ascii="Arial" w:hAnsi="Arial" w:cs="Arial"/>
          <w:sz w:val="22"/>
          <w:szCs w:val="22"/>
        </w:rPr>
        <w:t>. Wszelkie koszty adaptacji po stronie systemu sterowania przepompownią, niezbędne do zachowania pełnej komunikacji z systemem SCADA, leżą po stronie Wykonawcy.</w:t>
      </w:r>
    </w:p>
    <w:p w14:paraId="3591C3E2" w14:textId="77777777" w:rsidR="00EE6504" w:rsidRPr="00EE6504" w:rsidRDefault="00EE6504" w:rsidP="00EE6504">
      <w:pPr>
        <w:pStyle w:val="Nagwek2"/>
        <w:numPr>
          <w:ilvl w:val="1"/>
          <w:numId w:val="10"/>
        </w:numPr>
        <w:spacing w:before="360" w:after="120" w:line="240" w:lineRule="auto"/>
        <w:jc w:val="both"/>
        <w:rPr>
          <w:rFonts w:ascii="Arial" w:hAnsi="Arial" w:cs="Arial"/>
          <w:sz w:val="22"/>
          <w:szCs w:val="22"/>
        </w:rPr>
      </w:pPr>
      <w:bookmarkStart w:id="53" w:name="_Toc231883670"/>
      <w:r w:rsidRPr="00EE6504">
        <w:rPr>
          <w:rFonts w:ascii="Arial" w:hAnsi="Arial" w:cs="Arial"/>
          <w:sz w:val="22"/>
          <w:szCs w:val="22"/>
        </w:rPr>
        <w:t>Przygotowanie możliwości rozbudowy.</w:t>
      </w:r>
      <w:bookmarkEnd w:id="53"/>
    </w:p>
    <w:p w14:paraId="3414782A" w14:textId="77777777" w:rsidR="00EE6504" w:rsidRPr="00EE6504" w:rsidRDefault="00EE6504" w:rsidP="00EE6504">
      <w:pPr>
        <w:rPr>
          <w:rFonts w:ascii="Arial" w:hAnsi="Arial" w:cs="Arial"/>
          <w:sz w:val="22"/>
          <w:szCs w:val="22"/>
        </w:rPr>
      </w:pPr>
      <w:r w:rsidRPr="00EE6504">
        <w:rPr>
          <w:rFonts w:ascii="Arial" w:hAnsi="Arial" w:cs="Arial"/>
          <w:sz w:val="22"/>
          <w:szCs w:val="22"/>
        </w:rPr>
        <w:t>System należy wykonać z możliwością rozbudowy o dodatkową komorę zasuw.</w:t>
      </w:r>
    </w:p>
    <w:p w14:paraId="1052AC8A" w14:textId="77777777" w:rsidR="00EE6504" w:rsidRPr="00EE6504" w:rsidRDefault="00EE6504" w:rsidP="00EE6504">
      <w:pPr>
        <w:rPr>
          <w:rFonts w:ascii="Arial" w:hAnsi="Arial" w:cs="Arial"/>
          <w:sz w:val="22"/>
          <w:szCs w:val="22"/>
        </w:rPr>
      </w:pPr>
      <w:r w:rsidRPr="00EE6504">
        <w:rPr>
          <w:rFonts w:ascii="Arial" w:hAnsi="Arial" w:cs="Arial"/>
          <w:sz w:val="22"/>
          <w:szCs w:val="22"/>
        </w:rPr>
        <w:t>Należy zapewnić rezerwę sprzętową i programową.</w:t>
      </w:r>
    </w:p>
    <w:p w14:paraId="4EB1F656" w14:textId="77777777" w:rsidR="00EE6504" w:rsidRPr="00EE6504" w:rsidRDefault="00EE6504" w:rsidP="00EE6504">
      <w:pPr>
        <w:rPr>
          <w:rFonts w:ascii="Arial" w:hAnsi="Arial" w:cs="Arial"/>
          <w:sz w:val="22"/>
          <w:szCs w:val="22"/>
        </w:rPr>
      </w:pPr>
      <w:r w:rsidRPr="00EE6504">
        <w:rPr>
          <w:rFonts w:ascii="Arial" w:hAnsi="Arial" w:cs="Arial"/>
          <w:sz w:val="22"/>
          <w:szCs w:val="22"/>
        </w:rPr>
        <w:t>Struktura programu musi umożliwiać rozbudowę o automatyczne sterowanie zasuwami.</w:t>
      </w:r>
    </w:p>
    <w:p w14:paraId="1C4410AB" w14:textId="77777777" w:rsidR="00EE6504" w:rsidRPr="00EE6504" w:rsidRDefault="00EE6504" w:rsidP="00EE6504">
      <w:pPr>
        <w:pStyle w:val="Nagwek2"/>
        <w:numPr>
          <w:ilvl w:val="1"/>
          <w:numId w:val="10"/>
        </w:numPr>
        <w:spacing w:before="360" w:after="120" w:line="240" w:lineRule="auto"/>
        <w:jc w:val="both"/>
        <w:rPr>
          <w:rFonts w:ascii="Arial" w:hAnsi="Arial" w:cs="Arial"/>
          <w:sz w:val="22"/>
          <w:szCs w:val="22"/>
        </w:rPr>
      </w:pPr>
      <w:bookmarkStart w:id="54" w:name="_Toc231883671"/>
      <w:r w:rsidRPr="00EE6504">
        <w:rPr>
          <w:rFonts w:ascii="Arial" w:hAnsi="Arial" w:cs="Arial"/>
          <w:sz w:val="22"/>
          <w:szCs w:val="22"/>
        </w:rPr>
        <w:lastRenderedPageBreak/>
        <w:t>Testy i odbiory</w:t>
      </w:r>
      <w:bookmarkEnd w:id="54"/>
    </w:p>
    <w:p w14:paraId="7A403846" w14:textId="77777777" w:rsidR="00EE6504" w:rsidRPr="00EE6504" w:rsidRDefault="00EE6504" w:rsidP="00EE6504">
      <w:pPr>
        <w:rPr>
          <w:rFonts w:ascii="Arial" w:hAnsi="Arial" w:cs="Arial"/>
          <w:sz w:val="22"/>
          <w:szCs w:val="22"/>
        </w:rPr>
      </w:pPr>
      <w:r w:rsidRPr="00EE6504">
        <w:rPr>
          <w:rFonts w:ascii="Arial" w:hAnsi="Arial" w:cs="Arial"/>
          <w:sz w:val="22"/>
          <w:szCs w:val="22"/>
        </w:rPr>
        <w:t xml:space="preserve">Po zakończeniu montażu i konfiguracji na obiekcie, przed przystąpieniem do rozruchu technologicznego, Wykonawca przeprowadzi wspólnie z przedstawicielami Zamawiającego SAT (Site </w:t>
      </w:r>
      <w:proofErr w:type="spellStart"/>
      <w:r w:rsidRPr="00EE6504">
        <w:rPr>
          <w:rFonts w:ascii="Arial" w:hAnsi="Arial" w:cs="Arial"/>
          <w:sz w:val="22"/>
          <w:szCs w:val="22"/>
        </w:rPr>
        <w:t>Acceptance</w:t>
      </w:r>
      <w:proofErr w:type="spellEnd"/>
      <w:r w:rsidRPr="00EE6504">
        <w:rPr>
          <w:rFonts w:ascii="Arial" w:hAnsi="Arial" w:cs="Arial"/>
          <w:sz w:val="22"/>
          <w:szCs w:val="22"/>
        </w:rPr>
        <w:t xml:space="preserve"> Test – Test Odbiorczy na Miejscu). SAT obejmuje: sprawdzenie wszystkich sygnałów wejściowych i wyjściowych, weryfikację komunikacji z urządzeniami obiektowymi (pompy, mieszadła, rozdrabniarki, zasuwy AUMA, przepływomierze, sondy VEGA, pływaki, pompka odwodnieniowa, analizator sieci), komunikację z systemem SCADA, działanie algorytmów sterowania oraz wszystkich stanów awaryjnych i blokad technologicznych. Pozytywny protokół SAT podpisany przez Strony stanowi warunek przejścia do rozruchu technologicznego.</w:t>
      </w:r>
    </w:p>
    <w:p w14:paraId="0CBBD290" w14:textId="77777777" w:rsidR="00EE6504" w:rsidRPr="00EE6504" w:rsidRDefault="00EE6504" w:rsidP="00EE6504">
      <w:pPr>
        <w:rPr>
          <w:rFonts w:ascii="Arial" w:hAnsi="Arial" w:cs="Arial"/>
          <w:sz w:val="22"/>
          <w:szCs w:val="22"/>
        </w:rPr>
      </w:pPr>
      <w:r w:rsidRPr="00EE6504">
        <w:rPr>
          <w:rFonts w:ascii="Arial" w:hAnsi="Arial" w:cs="Arial"/>
          <w:sz w:val="22"/>
          <w:szCs w:val="22"/>
        </w:rPr>
        <w:t>Wymagany jest rozruch technologiczny na obiekcie czynnym.</w:t>
      </w:r>
    </w:p>
    <w:p w14:paraId="1C899EFA" w14:textId="77777777" w:rsidR="00EE6504" w:rsidRPr="00EE6504" w:rsidRDefault="00EE6504" w:rsidP="00EE6504">
      <w:pPr>
        <w:rPr>
          <w:rFonts w:ascii="Arial" w:hAnsi="Arial" w:cs="Arial"/>
          <w:sz w:val="22"/>
          <w:szCs w:val="22"/>
        </w:rPr>
      </w:pPr>
      <w:r w:rsidRPr="00EE6504">
        <w:rPr>
          <w:rFonts w:ascii="Arial" w:hAnsi="Arial" w:cs="Arial"/>
          <w:sz w:val="22"/>
          <w:szCs w:val="22"/>
        </w:rPr>
        <w:t>Wymagana jest weryfikacja działania systemu w rzeczywistych warunkach pracy, w pełnym zakresie dopływów ścieków, w warunkach przeciążenia hydraulicznego oraz w stanach awaryjnych.</w:t>
      </w:r>
    </w:p>
    <w:p w14:paraId="66A4AD4B" w14:textId="77777777" w:rsidR="00EE6504" w:rsidRPr="00EE6504" w:rsidRDefault="00EE6504" w:rsidP="00EE6504">
      <w:pPr>
        <w:rPr>
          <w:rFonts w:ascii="Arial" w:hAnsi="Arial" w:cs="Arial"/>
          <w:sz w:val="22"/>
          <w:szCs w:val="22"/>
        </w:rPr>
      </w:pPr>
      <w:r w:rsidRPr="00EE6504">
        <w:rPr>
          <w:rFonts w:ascii="Arial" w:hAnsi="Arial" w:cs="Arial"/>
          <w:sz w:val="22"/>
          <w:szCs w:val="22"/>
        </w:rPr>
        <w:t>Przed odbiorem końcowym Wykonawca przeprowadzi wspólnie z przedstawicielami Zamawiającego testy funkcjonalne obejmujące wszystkie urządzenia technologiczne przepompowni, w tym pompy, mieszadła, rozdrabniarki, zasuwy z napędami, układy pomiarowe, sygnały alarmowe oraz komunikację z systemem SCADA.</w:t>
      </w:r>
    </w:p>
    <w:p w14:paraId="5698F33B" w14:textId="77777777" w:rsidR="00EE6504" w:rsidRPr="00EE6504" w:rsidRDefault="00EE6504" w:rsidP="00EE6504">
      <w:pPr>
        <w:rPr>
          <w:rFonts w:ascii="Arial" w:hAnsi="Arial" w:cs="Arial"/>
          <w:sz w:val="22"/>
          <w:szCs w:val="22"/>
        </w:rPr>
      </w:pPr>
      <w:r w:rsidRPr="00EE6504">
        <w:rPr>
          <w:rFonts w:ascii="Arial" w:hAnsi="Arial" w:cs="Arial"/>
          <w:sz w:val="22"/>
          <w:szCs w:val="22"/>
        </w:rPr>
        <w:t>Z przeprowadzonych testów zostanie sporządzony protokół podpisany przez przedstawicieli Stron.</w:t>
      </w:r>
    </w:p>
    <w:p w14:paraId="44B8083B" w14:textId="77777777" w:rsidR="00EE6504" w:rsidRPr="00EE6504" w:rsidRDefault="00EE6504" w:rsidP="00EE6504">
      <w:pPr>
        <w:rPr>
          <w:rFonts w:ascii="Arial" w:hAnsi="Arial" w:cs="Arial"/>
          <w:sz w:val="22"/>
          <w:szCs w:val="22"/>
        </w:rPr>
      </w:pPr>
      <w:r w:rsidRPr="00EE6504">
        <w:rPr>
          <w:rFonts w:ascii="Arial" w:hAnsi="Arial" w:cs="Arial"/>
          <w:sz w:val="22"/>
          <w:szCs w:val="22"/>
        </w:rPr>
        <w:t>Warunkiem odbioru końcowego jest potwierdzenie zachowania funkcjonalności 1:1, poprawność nowego pomiaru energii elektrycznej oraz nieprzerwana, poprawna praca systemu sterowania przez okres minimum 21 dni kalendarzowych eksploatacji bez występowania błędów funkcjonalnych, błędów komunikacyjnych oraz nieuzasadnionych alarmów systemowych.</w:t>
      </w:r>
    </w:p>
    <w:p w14:paraId="6320AB8E" w14:textId="77777777" w:rsidR="00EE6504" w:rsidRPr="00EE6504" w:rsidRDefault="00EE6504" w:rsidP="00EE6504">
      <w:pPr>
        <w:spacing w:line="259" w:lineRule="auto"/>
        <w:rPr>
          <w:rStyle w:val="Pogrubienie"/>
          <w:rFonts w:ascii="Arial" w:eastAsiaTheme="majorEastAsia" w:hAnsi="Arial" w:cs="Arial"/>
          <w:bCs w:val="0"/>
          <w:sz w:val="22"/>
          <w:szCs w:val="22"/>
        </w:rPr>
      </w:pPr>
    </w:p>
    <w:p w14:paraId="7762448B" w14:textId="77777777" w:rsidR="00EE6504" w:rsidRPr="00EE6504" w:rsidRDefault="00EE6504" w:rsidP="00EE6504">
      <w:pPr>
        <w:pStyle w:val="Nagwek1"/>
        <w:numPr>
          <w:ilvl w:val="0"/>
          <w:numId w:val="10"/>
        </w:numPr>
        <w:spacing w:after="120" w:line="240" w:lineRule="auto"/>
        <w:jc w:val="both"/>
        <w:rPr>
          <w:rStyle w:val="Pogrubienie"/>
          <w:rFonts w:ascii="Arial" w:hAnsi="Arial" w:cs="Arial"/>
          <w:b w:val="0"/>
          <w:bCs w:val="0"/>
          <w:sz w:val="22"/>
          <w:szCs w:val="22"/>
        </w:rPr>
      </w:pPr>
      <w:bookmarkStart w:id="55" w:name="_Toc231883672"/>
      <w:r w:rsidRPr="00EE6504">
        <w:rPr>
          <w:rStyle w:val="Pogrubienie"/>
          <w:rFonts w:ascii="Arial" w:hAnsi="Arial" w:cs="Arial"/>
          <w:bCs w:val="0"/>
          <w:sz w:val="22"/>
          <w:szCs w:val="22"/>
        </w:rPr>
        <w:t>Dokumenty odbiorowe</w:t>
      </w:r>
      <w:bookmarkEnd w:id="55"/>
    </w:p>
    <w:p w14:paraId="0FEC8029" w14:textId="77777777" w:rsidR="00EE6504" w:rsidRPr="00EE6504" w:rsidRDefault="00EE6504" w:rsidP="00EE6504">
      <w:pPr>
        <w:rPr>
          <w:rFonts w:ascii="Arial" w:hAnsi="Arial" w:cs="Arial"/>
          <w:sz w:val="22"/>
          <w:szCs w:val="22"/>
        </w:rPr>
      </w:pPr>
      <w:r w:rsidRPr="00EE6504">
        <w:rPr>
          <w:rFonts w:ascii="Arial" w:hAnsi="Arial" w:cs="Arial"/>
          <w:sz w:val="22"/>
          <w:szCs w:val="22"/>
        </w:rPr>
        <w:t>Wykonawca przekaże:</w:t>
      </w:r>
    </w:p>
    <w:p w14:paraId="7EFD5B84"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Edytowalny projekt w środowisku TIA Portal,</w:t>
      </w:r>
    </w:p>
    <w:p w14:paraId="58ACC0C0"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Kompletny program sterownika PLC,</w:t>
      </w:r>
    </w:p>
    <w:p w14:paraId="766B71DE"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Edytowalny projekt i program panelu HMI (jeżeli występuje),</w:t>
      </w:r>
    </w:p>
    <w:p w14:paraId="12FC55FA"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Kopie zapasowe (backup) systemu, konfiguracji urządzeń,</w:t>
      </w:r>
    </w:p>
    <w:p w14:paraId="757B02E7"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Wszystkie hasła dostępowe do urządzeń i oprogramowania,</w:t>
      </w:r>
    </w:p>
    <w:p w14:paraId="0B2B42C5"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Dokumenty licencyjne,</w:t>
      </w:r>
    </w:p>
    <w:p w14:paraId="15AD33F2"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Klucze aktywacyjne,</w:t>
      </w:r>
    </w:p>
    <w:p w14:paraId="30AE7D1E"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Gwarancje na dostarczone urządzenia,</w:t>
      </w:r>
    </w:p>
    <w:p w14:paraId="3102B633"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Świadectwo wzorcowania (certyfikat kalibracji) dostarczonego analizatora sieci elektroenergetycznej, wystawione przez akredytowane laboratorium pomiarowe,</w:t>
      </w:r>
    </w:p>
    <w:p w14:paraId="5014953F" w14:textId="77777777" w:rsidR="00EE6504" w:rsidRPr="00EE6504" w:rsidRDefault="00EE6504" w:rsidP="00EE6504">
      <w:pPr>
        <w:pStyle w:val="Akapitzlist"/>
        <w:numPr>
          <w:ilvl w:val="0"/>
          <w:numId w:val="14"/>
        </w:numPr>
        <w:spacing w:line="240" w:lineRule="auto"/>
        <w:jc w:val="both"/>
        <w:rPr>
          <w:rFonts w:ascii="Arial" w:hAnsi="Arial" w:cs="Arial"/>
          <w:sz w:val="22"/>
          <w:szCs w:val="22"/>
        </w:rPr>
      </w:pPr>
      <w:r w:rsidRPr="00EE6504">
        <w:rPr>
          <w:rFonts w:ascii="Arial" w:hAnsi="Arial" w:cs="Arial"/>
          <w:sz w:val="22"/>
          <w:szCs w:val="22"/>
        </w:rPr>
        <w:t>Wykonanie dokumentacji powykonawczej w wersji elektronicznej i papierowej (2 komplety) zawierającą co najmniej:</w:t>
      </w:r>
    </w:p>
    <w:p w14:paraId="40AE801B" w14:textId="77777777" w:rsidR="00EE6504" w:rsidRPr="00EE6504" w:rsidRDefault="00EE6504" w:rsidP="00EE6504">
      <w:pPr>
        <w:pStyle w:val="Akapitzlist"/>
        <w:numPr>
          <w:ilvl w:val="1"/>
          <w:numId w:val="14"/>
        </w:numPr>
        <w:spacing w:line="240" w:lineRule="auto"/>
        <w:jc w:val="both"/>
        <w:rPr>
          <w:rFonts w:ascii="Arial" w:hAnsi="Arial" w:cs="Arial"/>
          <w:sz w:val="22"/>
          <w:szCs w:val="22"/>
        </w:rPr>
      </w:pPr>
      <w:r w:rsidRPr="00EE6504">
        <w:rPr>
          <w:rFonts w:ascii="Arial" w:hAnsi="Arial" w:cs="Arial"/>
          <w:sz w:val="22"/>
          <w:szCs w:val="22"/>
        </w:rPr>
        <w:t>opis techniczny,</w:t>
      </w:r>
    </w:p>
    <w:p w14:paraId="01756D12" w14:textId="77777777" w:rsidR="00EE6504" w:rsidRPr="00EE6504" w:rsidRDefault="00EE6504" w:rsidP="00EE6504">
      <w:pPr>
        <w:pStyle w:val="Akapitzlist"/>
        <w:numPr>
          <w:ilvl w:val="1"/>
          <w:numId w:val="14"/>
        </w:numPr>
        <w:spacing w:line="240" w:lineRule="auto"/>
        <w:jc w:val="both"/>
        <w:rPr>
          <w:rFonts w:ascii="Arial" w:hAnsi="Arial" w:cs="Arial"/>
          <w:sz w:val="22"/>
          <w:szCs w:val="22"/>
        </w:rPr>
      </w:pPr>
      <w:r w:rsidRPr="00EE6504">
        <w:rPr>
          <w:rFonts w:ascii="Arial" w:hAnsi="Arial" w:cs="Arial"/>
          <w:sz w:val="22"/>
          <w:szCs w:val="22"/>
        </w:rPr>
        <w:t>opis działania systemu,</w:t>
      </w:r>
    </w:p>
    <w:p w14:paraId="10E5F62D" w14:textId="77777777" w:rsidR="00EE6504" w:rsidRPr="00EE6504" w:rsidRDefault="00EE6504" w:rsidP="00EE6504">
      <w:pPr>
        <w:pStyle w:val="Akapitzlist"/>
        <w:numPr>
          <w:ilvl w:val="1"/>
          <w:numId w:val="14"/>
        </w:numPr>
        <w:spacing w:line="240" w:lineRule="auto"/>
        <w:jc w:val="both"/>
        <w:rPr>
          <w:rFonts w:ascii="Arial" w:hAnsi="Arial" w:cs="Arial"/>
          <w:sz w:val="22"/>
          <w:szCs w:val="22"/>
        </w:rPr>
      </w:pPr>
      <w:r w:rsidRPr="00EE6504">
        <w:rPr>
          <w:rFonts w:ascii="Arial" w:hAnsi="Arial" w:cs="Arial"/>
          <w:sz w:val="22"/>
          <w:szCs w:val="22"/>
        </w:rPr>
        <w:t>schematy elektryczne w wersji edytowalnej (</w:t>
      </w:r>
      <w:proofErr w:type="spellStart"/>
      <w:r w:rsidRPr="00EE6504">
        <w:rPr>
          <w:rFonts w:ascii="Arial" w:hAnsi="Arial" w:cs="Arial"/>
          <w:sz w:val="22"/>
          <w:szCs w:val="22"/>
        </w:rPr>
        <w:t>See</w:t>
      </w:r>
      <w:proofErr w:type="spellEnd"/>
      <w:r w:rsidRPr="00EE6504">
        <w:rPr>
          <w:rFonts w:ascii="Arial" w:hAnsi="Arial" w:cs="Arial"/>
          <w:sz w:val="22"/>
          <w:szCs w:val="22"/>
        </w:rPr>
        <w:t xml:space="preserve"> </w:t>
      </w:r>
      <w:proofErr w:type="spellStart"/>
      <w:r w:rsidRPr="00EE6504">
        <w:rPr>
          <w:rFonts w:ascii="Arial" w:hAnsi="Arial" w:cs="Arial"/>
          <w:sz w:val="22"/>
          <w:szCs w:val="22"/>
        </w:rPr>
        <w:t>Electrical</w:t>
      </w:r>
      <w:proofErr w:type="spellEnd"/>
      <w:r w:rsidRPr="00EE6504">
        <w:rPr>
          <w:rFonts w:ascii="Arial" w:hAnsi="Arial" w:cs="Arial"/>
          <w:sz w:val="22"/>
          <w:szCs w:val="22"/>
        </w:rPr>
        <w:t xml:space="preserve"> kompletny projekt wraz z plikami źródłowymi .sep oraz zastosowaną bazą symboli, lub AutoCAD .DWG/.DXF) oraz w formacie .PDF,</w:t>
      </w:r>
    </w:p>
    <w:p w14:paraId="6121DD63" w14:textId="77777777" w:rsidR="00EE6504" w:rsidRPr="00EE6504" w:rsidRDefault="00EE6504" w:rsidP="00EE6504">
      <w:pPr>
        <w:pStyle w:val="Akapitzlist"/>
        <w:numPr>
          <w:ilvl w:val="1"/>
          <w:numId w:val="14"/>
        </w:numPr>
        <w:spacing w:line="240" w:lineRule="auto"/>
        <w:jc w:val="both"/>
        <w:rPr>
          <w:rFonts w:ascii="Arial" w:hAnsi="Arial" w:cs="Arial"/>
          <w:sz w:val="22"/>
          <w:szCs w:val="22"/>
        </w:rPr>
      </w:pPr>
      <w:r w:rsidRPr="00EE6504">
        <w:rPr>
          <w:rFonts w:ascii="Arial" w:hAnsi="Arial" w:cs="Arial"/>
          <w:sz w:val="22"/>
          <w:szCs w:val="22"/>
        </w:rPr>
        <w:t>schematy automatyki w wersji edytowalnej  (</w:t>
      </w:r>
      <w:proofErr w:type="spellStart"/>
      <w:r w:rsidRPr="00EE6504">
        <w:rPr>
          <w:rFonts w:ascii="Arial" w:hAnsi="Arial" w:cs="Arial"/>
          <w:sz w:val="22"/>
          <w:szCs w:val="22"/>
        </w:rPr>
        <w:t>See</w:t>
      </w:r>
      <w:proofErr w:type="spellEnd"/>
      <w:r w:rsidRPr="00EE6504">
        <w:rPr>
          <w:rFonts w:ascii="Arial" w:hAnsi="Arial" w:cs="Arial"/>
          <w:sz w:val="22"/>
          <w:szCs w:val="22"/>
        </w:rPr>
        <w:t xml:space="preserve"> </w:t>
      </w:r>
      <w:proofErr w:type="spellStart"/>
      <w:r w:rsidRPr="00EE6504">
        <w:rPr>
          <w:rFonts w:ascii="Arial" w:hAnsi="Arial" w:cs="Arial"/>
          <w:sz w:val="22"/>
          <w:szCs w:val="22"/>
        </w:rPr>
        <w:t>Electrical</w:t>
      </w:r>
      <w:proofErr w:type="spellEnd"/>
      <w:r w:rsidRPr="00EE6504">
        <w:rPr>
          <w:rFonts w:ascii="Arial" w:hAnsi="Arial" w:cs="Arial"/>
          <w:sz w:val="22"/>
          <w:szCs w:val="22"/>
        </w:rPr>
        <w:t xml:space="preserve"> kompletny projekt wraz z plikami źródłowymi .sep oraz zastosowaną bazą symboli, lub AutoCAD .DWG/.DXF) oraz w formacie .PDF,</w:t>
      </w:r>
    </w:p>
    <w:p w14:paraId="6B36F76A" w14:textId="77777777" w:rsidR="00EE6504" w:rsidRPr="00EE6504" w:rsidRDefault="00EE6504" w:rsidP="00EE6504">
      <w:pPr>
        <w:pStyle w:val="Akapitzlist"/>
        <w:numPr>
          <w:ilvl w:val="1"/>
          <w:numId w:val="14"/>
        </w:numPr>
        <w:spacing w:line="240" w:lineRule="auto"/>
        <w:jc w:val="both"/>
        <w:rPr>
          <w:rFonts w:ascii="Arial" w:hAnsi="Arial" w:cs="Arial"/>
          <w:sz w:val="22"/>
          <w:szCs w:val="22"/>
        </w:rPr>
      </w:pPr>
      <w:r w:rsidRPr="00EE6504">
        <w:rPr>
          <w:rFonts w:ascii="Arial" w:hAnsi="Arial" w:cs="Arial"/>
          <w:sz w:val="22"/>
          <w:szCs w:val="22"/>
        </w:rPr>
        <w:t>certyfikaty urządzeń,</w:t>
      </w:r>
    </w:p>
    <w:p w14:paraId="36BE9AF0" w14:textId="77777777" w:rsidR="00EE6504" w:rsidRPr="00EE6504" w:rsidRDefault="00EE6504" w:rsidP="00EE6504">
      <w:pPr>
        <w:pStyle w:val="Akapitzlist"/>
        <w:numPr>
          <w:ilvl w:val="1"/>
          <w:numId w:val="14"/>
        </w:numPr>
        <w:spacing w:line="240" w:lineRule="auto"/>
        <w:jc w:val="both"/>
        <w:rPr>
          <w:rFonts w:ascii="Arial" w:hAnsi="Arial" w:cs="Arial"/>
          <w:sz w:val="22"/>
          <w:szCs w:val="22"/>
        </w:rPr>
      </w:pPr>
      <w:r w:rsidRPr="00EE6504">
        <w:rPr>
          <w:rFonts w:ascii="Arial" w:hAnsi="Arial" w:cs="Arial"/>
          <w:sz w:val="22"/>
          <w:szCs w:val="22"/>
        </w:rPr>
        <w:t>instrukcje obsługi urządzeń,</w:t>
      </w:r>
    </w:p>
    <w:p w14:paraId="494AC5B9" w14:textId="77777777" w:rsidR="00EE6504" w:rsidRPr="00EE6504" w:rsidRDefault="00EE6504" w:rsidP="00EE6504">
      <w:pPr>
        <w:pStyle w:val="Akapitzlist"/>
        <w:numPr>
          <w:ilvl w:val="1"/>
          <w:numId w:val="14"/>
        </w:numPr>
        <w:spacing w:line="240" w:lineRule="auto"/>
        <w:jc w:val="both"/>
        <w:rPr>
          <w:rFonts w:ascii="Arial" w:hAnsi="Arial" w:cs="Arial"/>
          <w:sz w:val="22"/>
          <w:szCs w:val="22"/>
        </w:rPr>
      </w:pPr>
      <w:r w:rsidRPr="00EE6504">
        <w:rPr>
          <w:rFonts w:ascii="Arial" w:hAnsi="Arial" w:cs="Arial"/>
          <w:sz w:val="22"/>
          <w:szCs w:val="22"/>
        </w:rPr>
        <w:t>protokoły z pomiarów elektrycznych.</w:t>
      </w:r>
    </w:p>
    <w:p w14:paraId="5490308F" w14:textId="77777777" w:rsidR="00EE6504" w:rsidRPr="00EE6504" w:rsidRDefault="00EE6504" w:rsidP="00EE6504">
      <w:pPr>
        <w:pStyle w:val="Akapitzlist"/>
        <w:numPr>
          <w:ilvl w:val="1"/>
          <w:numId w:val="14"/>
        </w:numPr>
        <w:spacing w:line="240" w:lineRule="auto"/>
        <w:jc w:val="both"/>
        <w:rPr>
          <w:rFonts w:ascii="Arial" w:hAnsi="Arial" w:cs="Arial"/>
          <w:sz w:val="22"/>
          <w:szCs w:val="22"/>
        </w:rPr>
      </w:pPr>
      <w:r w:rsidRPr="00EE6504">
        <w:rPr>
          <w:rFonts w:ascii="Arial" w:hAnsi="Arial" w:cs="Arial"/>
          <w:sz w:val="22"/>
          <w:szCs w:val="22"/>
        </w:rPr>
        <w:lastRenderedPageBreak/>
        <w:t>Wykonawca przekaże ponadto:</w:t>
      </w:r>
    </w:p>
    <w:p w14:paraId="3AA3BC6F"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Szczegółowy Opis Funkcjonalny (SOF) w wersji zatwierdzonej,</w:t>
      </w:r>
    </w:p>
    <w:p w14:paraId="3680CA0A"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kompletną tabelę sygnałów wejściowych i wyjściowych (I/O List),</w:t>
      </w:r>
    </w:p>
    <w:p w14:paraId="05D3A1B3"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mapowanie sygnałów OMRON – SIMATIC S7-1500,</w:t>
      </w:r>
    </w:p>
    <w:p w14:paraId="22EF0F1E"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 xml:space="preserve">kompletną tabelę rejestrów </w:t>
      </w:r>
      <w:proofErr w:type="spellStart"/>
      <w:r w:rsidRPr="00EE6504">
        <w:rPr>
          <w:rFonts w:ascii="Arial" w:hAnsi="Arial" w:cs="Arial"/>
          <w:sz w:val="22"/>
          <w:szCs w:val="22"/>
        </w:rPr>
        <w:t>Modbus</w:t>
      </w:r>
      <w:proofErr w:type="spellEnd"/>
      <w:r w:rsidRPr="00EE6504">
        <w:rPr>
          <w:rFonts w:ascii="Arial" w:hAnsi="Arial" w:cs="Arial"/>
          <w:sz w:val="22"/>
          <w:szCs w:val="22"/>
        </w:rPr>
        <w:t xml:space="preserve"> wykorzystywanych do komunikacji ze SCADA,</w:t>
      </w:r>
    </w:p>
    <w:p w14:paraId="4823C97D"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protokół z Testu Weryfikacyjnego Fabrycznego (FAT),</w:t>
      </w:r>
    </w:p>
    <w:p w14:paraId="1FF5A737" w14:textId="77777777" w:rsidR="00EE6504" w:rsidRPr="00EE6504" w:rsidRDefault="00EE6504" w:rsidP="00EE6504">
      <w:pPr>
        <w:pStyle w:val="Akapitzlist"/>
        <w:numPr>
          <w:ilvl w:val="0"/>
          <w:numId w:val="15"/>
        </w:numPr>
        <w:spacing w:line="240" w:lineRule="auto"/>
        <w:jc w:val="both"/>
        <w:rPr>
          <w:rFonts w:ascii="Arial" w:hAnsi="Arial" w:cs="Arial"/>
          <w:sz w:val="22"/>
          <w:szCs w:val="22"/>
        </w:rPr>
      </w:pPr>
      <w:r w:rsidRPr="00EE6504">
        <w:rPr>
          <w:rFonts w:ascii="Arial" w:hAnsi="Arial" w:cs="Arial"/>
          <w:sz w:val="22"/>
          <w:szCs w:val="22"/>
        </w:rPr>
        <w:t xml:space="preserve"> raport z przeprowadzonych testów funkcjonalnych,</w:t>
      </w:r>
    </w:p>
    <w:p w14:paraId="2E1CA48D"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raport rozruchu technologicznego,</w:t>
      </w:r>
    </w:p>
    <w:p w14:paraId="1BE17836"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procedurę odtworzenia systemu po awarii (</w:t>
      </w:r>
      <w:proofErr w:type="spellStart"/>
      <w:r w:rsidRPr="00EE6504">
        <w:rPr>
          <w:rFonts w:ascii="Arial" w:hAnsi="Arial" w:cs="Arial"/>
          <w:sz w:val="22"/>
          <w:szCs w:val="22"/>
        </w:rPr>
        <w:t>Disaster</w:t>
      </w:r>
      <w:proofErr w:type="spellEnd"/>
      <w:r w:rsidRPr="00EE6504">
        <w:rPr>
          <w:rFonts w:ascii="Arial" w:hAnsi="Arial" w:cs="Arial"/>
          <w:sz w:val="22"/>
          <w:szCs w:val="22"/>
        </w:rPr>
        <w:t xml:space="preserve"> </w:t>
      </w:r>
      <w:proofErr w:type="spellStart"/>
      <w:r w:rsidRPr="00EE6504">
        <w:rPr>
          <w:rFonts w:ascii="Arial" w:hAnsi="Arial" w:cs="Arial"/>
          <w:sz w:val="22"/>
          <w:szCs w:val="22"/>
        </w:rPr>
        <w:t>Recovery</w:t>
      </w:r>
      <w:proofErr w:type="spellEnd"/>
      <w:r w:rsidRPr="00EE6504">
        <w:rPr>
          <w:rFonts w:ascii="Arial" w:hAnsi="Arial" w:cs="Arial"/>
          <w:sz w:val="22"/>
          <w:szCs w:val="22"/>
        </w:rPr>
        <w:t xml:space="preserve"> </w:t>
      </w:r>
      <w:proofErr w:type="spellStart"/>
      <w:r w:rsidRPr="00EE6504">
        <w:rPr>
          <w:rFonts w:ascii="Arial" w:hAnsi="Arial" w:cs="Arial"/>
          <w:sz w:val="22"/>
          <w:szCs w:val="22"/>
        </w:rPr>
        <w:t>Procedure</w:t>
      </w:r>
      <w:proofErr w:type="spellEnd"/>
      <w:r w:rsidRPr="00EE6504">
        <w:rPr>
          <w:rFonts w:ascii="Arial" w:hAnsi="Arial" w:cs="Arial"/>
          <w:sz w:val="22"/>
          <w:szCs w:val="22"/>
        </w:rPr>
        <w:t>),</w:t>
      </w:r>
    </w:p>
    <w:p w14:paraId="33CD71EE" w14:textId="77777777" w:rsidR="00EE6504" w:rsidRPr="00EE6504" w:rsidRDefault="00EE6504" w:rsidP="00EE6504">
      <w:pPr>
        <w:pStyle w:val="Akapitzlist"/>
        <w:numPr>
          <w:ilvl w:val="0"/>
          <w:numId w:val="24"/>
        </w:numPr>
        <w:spacing w:line="240" w:lineRule="auto"/>
        <w:jc w:val="both"/>
        <w:rPr>
          <w:rFonts w:ascii="Arial" w:hAnsi="Arial" w:cs="Arial"/>
          <w:sz w:val="22"/>
          <w:szCs w:val="22"/>
        </w:rPr>
      </w:pPr>
      <w:r w:rsidRPr="00EE6504">
        <w:rPr>
          <w:rFonts w:ascii="Arial" w:hAnsi="Arial" w:cs="Arial"/>
          <w:sz w:val="22"/>
          <w:szCs w:val="22"/>
        </w:rPr>
        <w:t>procedurę awaryjnego przywrócenia systemu OMRON (</w:t>
      </w:r>
      <w:proofErr w:type="spellStart"/>
      <w:r w:rsidRPr="00EE6504">
        <w:rPr>
          <w:rFonts w:ascii="Arial" w:hAnsi="Arial" w:cs="Arial"/>
          <w:sz w:val="22"/>
          <w:szCs w:val="22"/>
        </w:rPr>
        <w:t>Rollback</w:t>
      </w:r>
      <w:proofErr w:type="spellEnd"/>
      <w:r w:rsidRPr="00EE6504">
        <w:rPr>
          <w:rFonts w:ascii="Arial" w:hAnsi="Arial" w:cs="Arial"/>
          <w:sz w:val="22"/>
          <w:szCs w:val="22"/>
        </w:rPr>
        <w:t xml:space="preserve"> </w:t>
      </w:r>
      <w:proofErr w:type="spellStart"/>
      <w:r w:rsidRPr="00EE6504">
        <w:rPr>
          <w:rFonts w:ascii="Arial" w:hAnsi="Arial" w:cs="Arial"/>
          <w:sz w:val="22"/>
          <w:szCs w:val="22"/>
        </w:rPr>
        <w:t>Procedure</w:t>
      </w:r>
      <w:proofErr w:type="spellEnd"/>
      <w:r w:rsidRPr="00EE6504">
        <w:rPr>
          <w:rFonts w:ascii="Arial" w:hAnsi="Arial" w:cs="Arial"/>
          <w:sz w:val="22"/>
          <w:szCs w:val="22"/>
        </w:rPr>
        <w:t>).</w:t>
      </w:r>
    </w:p>
    <w:p w14:paraId="6B9887C8" w14:textId="77777777" w:rsidR="00EE6504" w:rsidRPr="00EE6504" w:rsidRDefault="00EE6504" w:rsidP="00EE6504">
      <w:pPr>
        <w:rPr>
          <w:rFonts w:ascii="Arial" w:hAnsi="Arial" w:cs="Arial"/>
          <w:b/>
          <w:bCs/>
          <w:sz w:val="22"/>
          <w:szCs w:val="22"/>
        </w:rPr>
      </w:pPr>
      <w:r w:rsidRPr="00EE6504">
        <w:rPr>
          <w:rFonts w:ascii="Arial" w:hAnsi="Arial" w:cs="Arial"/>
          <w:b/>
          <w:bCs/>
          <w:sz w:val="22"/>
          <w:szCs w:val="22"/>
        </w:rPr>
        <w:t>Dokumentacja powykonawcza</w:t>
      </w:r>
    </w:p>
    <w:p w14:paraId="559DF911" w14:textId="77777777" w:rsidR="00EE6504" w:rsidRPr="00EE6504" w:rsidRDefault="00EE6504" w:rsidP="00EE6504">
      <w:pPr>
        <w:rPr>
          <w:rFonts w:ascii="Arial" w:hAnsi="Arial" w:cs="Arial"/>
          <w:sz w:val="22"/>
          <w:szCs w:val="22"/>
        </w:rPr>
      </w:pPr>
      <w:r w:rsidRPr="00EE6504">
        <w:rPr>
          <w:rFonts w:ascii="Arial" w:hAnsi="Arial" w:cs="Arial"/>
          <w:sz w:val="22"/>
          <w:szCs w:val="22"/>
        </w:rPr>
        <w:t>Dokumentację powykonawczą należy przekazać w 2 egzemplarzach:</w:t>
      </w:r>
    </w:p>
    <w:p w14:paraId="2868F34B" w14:textId="77777777" w:rsidR="00EE6504" w:rsidRPr="00EE6504" w:rsidRDefault="00EE6504" w:rsidP="00EE6504">
      <w:pPr>
        <w:rPr>
          <w:rFonts w:ascii="Arial" w:hAnsi="Arial" w:cs="Arial"/>
          <w:sz w:val="22"/>
          <w:szCs w:val="22"/>
        </w:rPr>
      </w:pPr>
      <w:r w:rsidRPr="00EE6504">
        <w:rPr>
          <w:rFonts w:ascii="Arial" w:hAnsi="Arial" w:cs="Arial"/>
          <w:sz w:val="22"/>
          <w:szCs w:val="22"/>
        </w:rPr>
        <w:t>1 egzemplarz w formie elektronicznej na pamięci przenośnej USB (min. USB 3.0), zawierający skany oryginałów w formacie PDF,</w:t>
      </w:r>
    </w:p>
    <w:p w14:paraId="5D4A5039" w14:textId="77777777" w:rsidR="00EE6504" w:rsidRPr="00EE6504" w:rsidRDefault="00EE6504" w:rsidP="00EE6504">
      <w:pPr>
        <w:rPr>
          <w:rFonts w:ascii="Arial" w:hAnsi="Arial" w:cs="Arial"/>
          <w:sz w:val="22"/>
          <w:szCs w:val="22"/>
        </w:rPr>
      </w:pPr>
      <w:r w:rsidRPr="00EE6504">
        <w:rPr>
          <w:rFonts w:ascii="Arial" w:hAnsi="Arial" w:cs="Arial"/>
          <w:sz w:val="22"/>
          <w:szCs w:val="22"/>
        </w:rPr>
        <w:t>1 egzemplarz w formie papierowej, zawierający oryginały dokumentów.</w:t>
      </w:r>
    </w:p>
    <w:p w14:paraId="66EB5627" w14:textId="77777777" w:rsidR="003B38C2" w:rsidRPr="00EE6504" w:rsidRDefault="003B38C2" w:rsidP="003B38C2">
      <w:pPr>
        <w:spacing w:line="259" w:lineRule="auto"/>
        <w:rPr>
          <w:rFonts w:ascii="Arial" w:eastAsiaTheme="minorHAnsi" w:hAnsi="Arial" w:cs="Arial"/>
          <w:b/>
          <w:bCs/>
          <w:sz w:val="22"/>
          <w:szCs w:val="22"/>
        </w:rPr>
      </w:pPr>
    </w:p>
    <w:sectPr w:rsidR="003B38C2" w:rsidRPr="00EE650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C3F02" w14:textId="77777777" w:rsidR="00DA2620" w:rsidRDefault="00DA2620" w:rsidP="00954ADA">
      <w:r>
        <w:separator/>
      </w:r>
    </w:p>
  </w:endnote>
  <w:endnote w:type="continuationSeparator" w:id="0">
    <w:p w14:paraId="18399D73" w14:textId="77777777" w:rsidR="00DA2620" w:rsidRDefault="00DA2620" w:rsidP="00954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BFB62" w14:textId="77777777" w:rsidR="00DA2620" w:rsidRDefault="00DA2620" w:rsidP="00954ADA">
      <w:r>
        <w:separator/>
      </w:r>
    </w:p>
  </w:footnote>
  <w:footnote w:type="continuationSeparator" w:id="0">
    <w:p w14:paraId="7009C229" w14:textId="77777777" w:rsidR="00DA2620" w:rsidRDefault="00DA2620" w:rsidP="00954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C222" w14:textId="4256A5D7" w:rsidR="00EE6504" w:rsidRPr="005112B6" w:rsidRDefault="00954ADA" w:rsidP="00EE6504">
    <w:pPr>
      <w:pStyle w:val="Nagwek"/>
      <w:pBdr>
        <w:bottom w:val="single" w:sz="12" w:space="1" w:color="auto"/>
      </w:pBdr>
      <w:rPr>
        <w:rFonts w:ascii="Arial" w:hAnsi="Arial" w:cs="Arial"/>
        <w:i/>
        <w:sz w:val="16"/>
        <w:szCs w:val="16"/>
      </w:rPr>
    </w:pPr>
    <w:r w:rsidRPr="00A30FB3">
      <w:rPr>
        <w:rFonts w:ascii="Arial" w:hAnsi="Arial"/>
        <w:sz w:val="16"/>
        <w:szCs w:val="16"/>
      </w:rPr>
      <w:t>Z</w:t>
    </w:r>
    <w:r>
      <w:rPr>
        <w:rFonts w:ascii="Arial" w:hAnsi="Arial"/>
        <w:sz w:val="16"/>
        <w:szCs w:val="16"/>
      </w:rPr>
      <w:t>-</w:t>
    </w:r>
    <w:r w:rsidR="006B73A5">
      <w:rPr>
        <w:rFonts w:ascii="Arial" w:hAnsi="Arial"/>
        <w:sz w:val="16"/>
        <w:szCs w:val="16"/>
      </w:rPr>
      <w:t>1</w:t>
    </w:r>
    <w:r w:rsidR="00EE6504">
      <w:rPr>
        <w:rFonts w:ascii="Arial" w:hAnsi="Arial"/>
        <w:sz w:val="16"/>
        <w:szCs w:val="16"/>
      </w:rPr>
      <w:t>69</w:t>
    </w:r>
    <w:r w:rsidRPr="00A30FB3">
      <w:rPr>
        <w:rFonts w:ascii="Arial" w:hAnsi="Arial"/>
        <w:sz w:val="16"/>
        <w:szCs w:val="16"/>
      </w:rPr>
      <w:t>/</w:t>
    </w:r>
    <w:r w:rsidR="007D3266">
      <w:rPr>
        <w:rFonts w:ascii="Arial" w:hAnsi="Arial"/>
        <w:sz w:val="16"/>
        <w:szCs w:val="16"/>
      </w:rPr>
      <w:t>U</w:t>
    </w:r>
    <w:r w:rsidRPr="00A30FB3">
      <w:rPr>
        <w:rFonts w:ascii="Arial" w:hAnsi="Arial"/>
        <w:sz w:val="16"/>
        <w:szCs w:val="16"/>
      </w:rPr>
      <w:t>/RZ/202</w:t>
    </w:r>
    <w:r>
      <w:rPr>
        <w:rFonts w:ascii="Arial" w:hAnsi="Arial"/>
        <w:sz w:val="16"/>
        <w:szCs w:val="16"/>
      </w:rPr>
      <w:t>6</w:t>
    </w:r>
    <w:r w:rsidRPr="00A30FB3">
      <w:rPr>
        <w:rFonts w:ascii="Arial" w:hAnsi="Arial"/>
        <w:sz w:val="16"/>
        <w:szCs w:val="16"/>
      </w:rPr>
      <w:t xml:space="preserve"> –</w:t>
    </w:r>
    <w:r w:rsidR="00EE6504" w:rsidRPr="005112B6">
      <w:rPr>
        <w:rFonts w:ascii="Arial" w:hAnsi="Arial" w:cs="Arial"/>
        <w:sz w:val="20"/>
        <w:szCs w:val="20"/>
      </w:rPr>
      <w:t>„</w:t>
    </w:r>
    <w:r w:rsidR="00EE6504">
      <w:rPr>
        <w:rFonts w:ascii="Arial" w:hAnsi="Arial" w:cs="Arial"/>
        <w:iCs/>
        <w:sz w:val="16"/>
        <w:szCs w:val="16"/>
      </w:rPr>
      <w:t>Migracja systemu sterowania przepompownią ścieków PK-1 do sterownika SIMATIC S7-1500</w:t>
    </w:r>
    <w:r w:rsidR="00EE6504" w:rsidRPr="005112B6">
      <w:rPr>
        <w:rFonts w:ascii="Arial" w:hAnsi="Arial" w:cs="Arial"/>
        <w:i/>
        <w:sz w:val="16"/>
        <w:szCs w:val="16"/>
      </w:rPr>
      <w:t>”</w:t>
    </w:r>
  </w:p>
  <w:p w14:paraId="3404BE76" w14:textId="2F656D64" w:rsidR="00954ADA" w:rsidRPr="00A30FB3" w:rsidRDefault="00954ADA" w:rsidP="00954ADA">
    <w:pPr>
      <w:pStyle w:val="Nagwek"/>
      <w:pBdr>
        <w:bottom w:val="single" w:sz="12" w:space="7" w:color="auto"/>
      </w:pBdr>
      <w:jc w:val="both"/>
      <w:rPr>
        <w:rFonts w:ascii="Arial" w:hAnsi="Arial"/>
        <w:sz w:val="16"/>
        <w:szCs w:val="16"/>
      </w:rPr>
    </w:pPr>
  </w:p>
  <w:p w14:paraId="04057154" w14:textId="77777777" w:rsidR="00954ADA" w:rsidRDefault="00954AD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54515"/>
    <w:multiLevelType w:val="multilevel"/>
    <w:tmpl w:val="C694B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E4E6E"/>
    <w:multiLevelType w:val="hybridMultilevel"/>
    <w:tmpl w:val="2CFAD75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068"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CA92EBC"/>
    <w:multiLevelType w:val="multilevel"/>
    <w:tmpl w:val="4148DCF2"/>
    <w:lvl w:ilvl="0">
      <w:start w:val="1"/>
      <w:numFmt w:val="lowerLetter"/>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1FEB3110"/>
    <w:multiLevelType w:val="multilevel"/>
    <w:tmpl w:val="E20A5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A3339A"/>
    <w:multiLevelType w:val="multilevel"/>
    <w:tmpl w:val="36A8494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BE24D7"/>
    <w:multiLevelType w:val="hybridMultilevel"/>
    <w:tmpl w:val="F99ED3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E30910"/>
    <w:multiLevelType w:val="hybridMultilevel"/>
    <w:tmpl w:val="FB188D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B25015"/>
    <w:multiLevelType w:val="multilevel"/>
    <w:tmpl w:val="C694B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8F7883"/>
    <w:multiLevelType w:val="multilevel"/>
    <w:tmpl w:val="C694B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CF3DA2"/>
    <w:multiLevelType w:val="multilevel"/>
    <w:tmpl w:val="A2AC0A58"/>
    <w:lvl w:ilvl="0">
      <w:start w:val="1"/>
      <w:numFmt w:val="decimal"/>
      <w:lvlText w:val="%1."/>
      <w:lvlJc w:val="left"/>
      <w:pPr>
        <w:ind w:left="36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B402C70"/>
    <w:multiLevelType w:val="hybridMultilevel"/>
    <w:tmpl w:val="4692CE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C077C9E"/>
    <w:multiLevelType w:val="multilevel"/>
    <w:tmpl w:val="C694B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hint="default"/>
        <w:sz w:val="20"/>
      </w:rPr>
    </w:lvl>
    <w:lvl w:ilvl="2">
      <w:start w:val="1"/>
      <w:numFmt w:val="bullet"/>
      <w:lvlText w:val=""/>
      <w:lvlJc w:val="left"/>
      <w:pPr>
        <w:tabs>
          <w:tab w:val="num" w:pos="1494"/>
        </w:tabs>
        <w:ind w:left="1494"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1119E3"/>
    <w:multiLevelType w:val="hybridMultilevel"/>
    <w:tmpl w:val="BC28D6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069"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4BB2366"/>
    <w:multiLevelType w:val="hybridMultilevel"/>
    <w:tmpl w:val="0BD44062"/>
    <w:lvl w:ilvl="0" w:tplc="04150001">
      <w:start w:val="1"/>
      <w:numFmt w:val="bullet"/>
      <w:lvlText w:val=""/>
      <w:lvlJc w:val="left"/>
      <w:pPr>
        <w:ind w:left="785" w:hanging="360"/>
      </w:pPr>
      <w:rPr>
        <w:rFonts w:ascii="Symbol" w:hAnsi="Symbol"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4" w15:restartNumberingAfterBreak="0">
    <w:nsid w:val="65332069"/>
    <w:multiLevelType w:val="multilevel"/>
    <w:tmpl w:val="C694B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4A6D0F"/>
    <w:multiLevelType w:val="hybridMultilevel"/>
    <w:tmpl w:val="518A9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76B3D41"/>
    <w:multiLevelType w:val="multilevel"/>
    <w:tmpl w:val="C694B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67759D"/>
    <w:multiLevelType w:val="hybridMultilevel"/>
    <w:tmpl w:val="A92441E4"/>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18" w15:restartNumberingAfterBreak="0">
    <w:nsid w:val="70647828"/>
    <w:multiLevelType w:val="multilevel"/>
    <w:tmpl w:val="C694B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391627"/>
    <w:multiLevelType w:val="hybridMultilevel"/>
    <w:tmpl w:val="269C7E48"/>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20" w15:restartNumberingAfterBreak="0">
    <w:nsid w:val="74792508"/>
    <w:multiLevelType w:val="multilevel"/>
    <w:tmpl w:val="A2AC0A58"/>
    <w:lvl w:ilvl="0">
      <w:start w:val="1"/>
      <w:numFmt w:val="decimal"/>
      <w:lvlText w:val="%1."/>
      <w:lvlJc w:val="left"/>
      <w:pPr>
        <w:ind w:left="36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DA164A8"/>
    <w:multiLevelType w:val="hybridMultilevel"/>
    <w:tmpl w:val="A45E28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F7A413F"/>
    <w:multiLevelType w:val="hybridMultilevel"/>
    <w:tmpl w:val="902A453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7F8552A9"/>
    <w:multiLevelType w:val="hybridMultilevel"/>
    <w:tmpl w:val="12302B72"/>
    <w:lvl w:ilvl="0" w:tplc="2C88C752">
      <w:start w:val="1"/>
      <w:numFmt w:val="lowerLetter"/>
      <w:lvlText w:val="%1)"/>
      <w:lvlJc w:val="left"/>
      <w:pPr>
        <w:ind w:left="720" w:hanging="360"/>
      </w:pPr>
      <w:rPr>
        <w:rFonts w:cs="Times New Roman"/>
        <w:b w:val="0"/>
        <w:bCs/>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7FDC7EC9"/>
    <w:multiLevelType w:val="multilevel"/>
    <w:tmpl w:val="C694B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4785040">
    <w:abstractNumId w:val="23"/>
  </w:num>
  <w:num w:numId="2" w16cid:durableId="1418866077">
    <w:abstractNumId w:val="21"/>
  </w:num>
  <w:num w:numId="3" w16cid:durableId="2130927832">
    <w:abstractNumId w:val="2"/>
  </w:num>
  <w:num w:numId="4" w16cid:durableId="504444653">
    <w:abstractNumId w:val="22"/>
  </w:num>
  <w:num w:numId="5" w16cid:durableId="547181">
    <w:abstractNumId w:val="3"/>
  </w:num>
  <w:num w:numId="6" w16cid:durableId="1628193506">
    <w:abstractNumId w:val="4"/>
  </w:num>
  <w:num w:numId="7" w16cid:durableId="1645157514">
    <w:abstractNumId w:val="10"/>
  </w:num>
  <w:num w:numId="8" w16cid:durableId="1888489159">
    <w:abstractNumId w:val="6"/>
  </w:num>
  <w:num w:numId="9" w16cid:durableId="938174789">
    <w:abstractNumId w:val="9"/>
  </w:num>
  <w:num w:numId="10" w16cid:durableId="1429039766">
    <w:abstractNumId w:val="20"/>
  </w:num>
  <w:num w:numId="11" w16cid:durableId="1684893947">
    <w:abstractNumId w:val="1"/>
  </w:num>
  <w:num w:numId="12" w16cid:durableId="1670523705">
    <w:abstractNumId w:val="15"/>
  </w:num>
  <w:num w:numId="13" w16cid:durableId="740561407">
    <w:abstractNumId w:val="13"/>
  </w:num>
  <w:num w:numId="14" w16cid:durableId="337537806">
    <w:abstractNumId w:val="12"/>
  </w:num>
  <w:num w:numId="15" w16cid:durableId="445009731">
    <w:abstractNumId w:val="19"/>
  </w:num>
  <w:num w:numId="16" w16cid:durableId="90589988">
    <w:abstractNumId w:val="17"/>
  </w:num>
  <w:num w:numId="17" w16cid:durableId="1591038084">
    <w:abstractNumId w:val="5"/>
  </w:num>
  <w:num w:numId="18" w16cid:durableId="541554297">
    <w:abstractNumId w:val="11"/>
  </w:num>
  <w:num w:numId="19" w16cid:durableId="1280914285">
    <w:abstractNumId w:val="0"/>
  </w:num>
  <w:num w:numId="20" w16cid:durableId="25721679">
    <w:abstractNumId w:val="16"/>
  </w:num>
  <w:num w:numId="21" w16cid:durableId="1597204179">
    <w:abstractNumId w:val="18"/>
  </w:num>
  <w:num w:numId="22" w16cid:durableId="1878934656">
    <w:abstractNumId w:val="8"/>
  </w:num>
  <w:num w:numId="23" w16cid:durableId="785388291">
    <w:abstractNumId w:val="24"/>
  </w:num>
  <w:num w:numId="24" w16cid:durableId="504173190">
    <w:abstractNumId w:val="14"/>
  </w:num>
  <w:num w:numId="25" w16cid:durableId="2582931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ADA"/>
    <w:rsid w:val="000979AE"/>
    <w:rsid w:val="00243B53"/>
    <w:rsid w:val="002F2CC0"/>
    <w:rsid w:val="0031291A"/>
    <w:rsid w:val="00343AB3"/>
    <w:rsid w:val="00361D89"/>
    <w:rsid w:val="003B38C2"/>
    <w:rsid w:val="00403FA9"/>
    <w:rsid w:val="0043710C"/>
    <w:rsid w:val="0049289E"/>
    <w:rsid w:val="005B6598"/>
    <w:rsid w:val="00627B71"/>
    <w:rsid w:val="0063698A"/>
    <w:rsid w:val="006A5926"/>
    <w:rsid w:val="006B73A5"/>
    <w:rsid w:val="0070077B"/>
    <w:rsid w:val="00790F6F"/>
    <w:rsid w:val="007D3266"/>
    <w:rsid w:val="00954ADA"/>
    <w:rsid w:val="00A165AB"/>
    <w:rsid w:val="00A47230"/>
    <w:rsid w:val="00AA4840"/>
    <w:rsid w:val="00C93CC3"/>
    <w:rsid w:val="00C95BAA"/>
    <w:rsid w:val="00CC4C07"/>
    <w:rsid w:val="00D51330"/>
    <w:rsid w:val="00DA2620"/>
    <w:rsid w:val="00EE6504"/>
    <w:rsid w:val="00F4525C"/>
    <w:rsid w:val="00F4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027A0"/>
  <w15:chartTrackingRefBased/>
  <w15:docId w15:val="{DD3CEA28-6A1C-4DCD-8791-26D53E07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ADA"/>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954AD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unhideWhenUsed/>
    <w:qFormat/>
    <w:rsid w:val="00954AD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unhideWhenUsed/>
    <w:qFormat/>
    <w:rsid w:val="00954ADA"/>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954ADA"/>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Nagwek5">
    <w:name w:val="heading 5"/>
    <w:basedOn w:val="Normalny"/>
    <w:next w:val="Normalny"/>
    <w:link w:val="Nagwek5Znak"/>
    <w:uiPriority w:val="9"/>
    <w:semiHidden/>
    <w:unhideWhenUsed/>
    <w:qFormat/>
    <w:rsid w:val="00954ADA"/>
    <w:pPr>
      <w:keepNext/>
      <w:keepLines/>
      <w:spacing w:before="80" w:after="40" w:line="278"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Nagwek6">
    <w:name w:val="heading 6"/>
    <w:basedOn w:val="Normalny"/>
    <w:next w:val="Normalny"/>
    <w:link w:val="Nagwek6Znak"/>
    <w:uiPriority w:val="9"/>
    <w:semiHidden/>
    <w:unhideWhenUsed/>
    <w:qFormat/>
    <w:rsid w:val="00954ADA"/>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gwek7">
    <w:name w:val="heading 7"/>
    <w:basedOn w:val="Normalny"/>
    <w:next w:val="Normalny"/>
    <w:link w:val="Nagwek7Znak"/>
    <w:uiPriority w:val="9"/>
    <w:semiHidden/>
    <w:unhideWhenUsed/>
    <w:qFormat/>
    <w:rsid w:val="00954ADA"/>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gwek8">
    <w:name w:val="heading 8"/>
    <w:basedOn w:val="Normalny"/>
    <w:next w:val="Normalny"/>
    <w:link w:val="Nagwek8Znak"/>
    <w:uiPriority w:val="9"/>
    <w:semiHidden/>
    <w:unhideWhenUsed/>
    <w:qFormat/>
    <w:rsid w:val="00954ADA"/>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gwek9">
    <w:name w:val="heading 9"/>
    <w:basedOn w:val="Normalny"/>
    <w:next w:val="Normalny"/>
    <w:link w:val="Nagwek9Znak"/>
    <w:uiPriority w:val="9"/>
    <w:semiHidden/>
    <w:unhideWhenUsed/>
    <w:qFormat/>
    <w:rsid w:val="00954ADA"/>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54AD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954AD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954AD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54AD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54AD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54AD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54AD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54AD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54ADA"/>
    <w:rPr>
      <w:rFonts w:eastAsiaTheme="majorEastAsia" w:cstheme="majorBidi"/>
      <w:color w:val="272727" w:themeColor="text1" w:themeTint="D8"/>
    </w:rPr>
  </w:style>
  <w:style w:type="paragraph" w:styleId="Tytu">
    <w:name w:val="Title"/>
    <w:basedOn w:val="Normalny"/>
    <w:next w:val="Normalny"/>
    <w:link w:val="TytuZnak"/>
    <w:uiPriority w:val="10"/>
    <w:qFormat/>
    <w:rsid w:val="00954AD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954AD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54AD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954AD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54ADA"/>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ytatZnak">
    <w:name w:val="Cytat Znak"/>
    <w:basedOn w:val="Domylnaczcionkaakapitu"/>
    <w:link w:val="Cytat"/>
    <w:uiPriority w:val="29"/>
    <w:rsid w:val="00954ADA"/>
    <w:rPr>
      <w:i/>
      <w:iCs/>
      <w:color w:val="404040" w:themeColor="text1" w:themeTint="BF"/>
    </w:rPr>
  </w:style>
  <w:style w:type="paragraph" w:styleId="Akapitzlist">
    <w:name w:val="List Paragraph"/>
    <w:basedOn w:val="Normalny"/>
    <w:uiPriority w:val="34"/>
    <w:qFormat/>
    <w:rsid w:val="00954ADA"/>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Wyrnienieintensywne">
    <w:name w:val="Intense Emphasis"/>
    <w:basedOn w:val="Domylnaczcionkaakapitu"/>
    <w:uiPriority w:val="21"/>
    <w:qFormat/>
    <w:rsid w:val="00954ADA"/>
    <w:rPr>
      <w:i/>
      <w:iCs/>
      <w:color w:val="2F5496" w:themeColor="accent1" w:themeShade="BF"/>
    </w:rPr>
  </w:style>
  <w:style w:type="paragraph" w:styleId="Cytatintensywny">
    <w:name w:val="Intense Quote"/>
    <w:basedOn w:val="Normalny"/>
    <w:next w:val="Normalny"/>
    <w:link w:val="CytatintensywnyZnak"/>
    <w:uiPriority w:val="30"/>
    <w:qFormat/>
    <w:rsid w:val="00954AD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ytatintensywnyZnak">
    <w:name w:val="Cytat intensywny Znak"/>
    <w:basedOn w:val="Domylnaczcionkaakapitu"/>
    <w:link w:val="Cytatintensywny"/>
    <w:uiPriority w:val="30"/>
    <w:rsid w:val="00954ADA"/>
    <w:rPr>
      <w:i/>
      <w:iCs/>
      <w:color w:val="2F5496" w:themeColor="accent1" w:themeShade="BF"/>
    </w:rPr>
  </w:style>
  <w:style w:type="character" w:styleId="Odwoanieintensywne">
    <w:name w:val="Intense Reference"/>
    <w:basedOn w:val="Domylnaczcionkaakapitu"/>
    <w:uiPriority w:val="32"/>
    <w:qFormat/>
    <w:rsid w:val="00954ADA"/>
    <w:rPr>
      <w:b/>
      <w:bCs/>
      <w:smallCaps/>
      <w:color w:val="2F5496" w:themeColor="accent1" w:themeShade="BF"/>
      <w:spacing w:val="5"/>
    </w:rPr>
  </w:style>
  <w:style w:type="paragraph" w:customStyle="1" w:styleId="Styl1">
    <w:name w:val="Styl1"/>
    <w:basedOn w:val="Tytu"/>
    <w:qFormat/>
    <w:rsid w:val="00954ADA"/>
    <w:pPr>
      <w:pBdr>
        <w:top w:val="single" w:sz="4" w:space="4" w:color="auto"/>
        <w:left w:val="single" w:sz="4" w:space="4" w:color="auto"/>
        <w:bottom w:val="single" w:sz="4" w:space="4" w:color="auto"/>
        <w:right w:val="single" w:sz="4" w:space="4" w:color="auto"/>
      </w:pBdr>
      <w:tabs>
        <w:tab w:val="left" w:pos="567"/>
        <w:tab w:val="left" w:pos="4536"/>
        <w:tab w:val="left" w:pos="5953"/>
      </w:tabs>
      <w:spacing w:after="120"/>
      <w:contextualSpacing w:val="0"/>
    </w:pPr>
    <w:rPr>
      <w:rFonts w:ascii="Arial" w:eastAsia="Times New Roman" w:hAnsi="Arial" w:cs="Times New Roman"/>
      <w:spacing w:val="0"/>
      <w:kern w:val="0"/>
      <w:sz w:val="20"/>
      <w:szCs w:val="20"/>
      <w:lang w:eastAsia="pl-PL"/>
      <w14:ligatures w14:val="none"/>
    </w:rPr>
  </w:style>
  <w:style w:type="paragraph" w:styleId="Nagwek">
    <w:name w:val="header"/>
    <w:basedOn w:val="Normalny"/>
    <w:link w:val="NagwekZnak"/>
    <w:uiPriority w:val="99"/>
    <w:unhideWhenUsed/>
    <w:rsid w:val="00954ADA"/>
    <w:pPr>
      <w:tabs>
        <w:tab w:val="center" w:pos="4536"/>
        <w:tab w:val="right" w:pos="9072"/>
      </w:tabs>
    </w:pPr>
  </w:style>
  <w:style w:type="character" w:customStyle="1" w:styleId="NagwekZnak">
    <w:name w:val="Nagłówek Znak"/>
    <w:basedOn w:val="Domylnaczcionkaakapitu"/>
    <w:link w:val="Nagwek"/>
    <w:uiPriority w:val="99"/>
    <w:rsid w:val="00954ADA"/>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954ADA"/>
    <w:pPr>
      <w:tabs>
        <w:tab w:val="center" w:pos="4536"/>
        <w:tab w:val="right" w:pos="9072"/>
      </w:tabs>
    </w:pPr>
  </w:style>
  <w:style w:type="character" w:customStyle="1" w:styleId="StopkaZnak">
    <w:name w:val="Stopka Znak"/>
    <w:basedOn w:val="Domylnaczcionkaakapitu"/>
    <w:link w:val="Stopka"/>
    <w:uiPriority w:val="99"/>
    <w:rsid w:val="00954ADA"/>
    <w:rPr>
      <w:rFonts w:ascii="Times New Roman" w:eastAsia="Times New Roman" w:hAnsi="Times New Roman" w:cs="Times New Roman"/>
      <w:kern w:val="0"/>
      <w:lang w:eastAsia="pl-PL"/>
      <w14:ligatures w14:val="none"/>
    </w:rPr>
  </w:style>
  <w:style w:type="paragraph" w:customStyle="1" w:styleId="Znak1">
    <w:name w:val="Znak1"/>
    <w:basedOn w:val="Normalny"/>
    <w:uiPriority w:val="99"/>
    <w:rsid w:val="00EE6504"/>
    <w:rPr>
      <w:rFonts w:ascii="Arial" w:hAnsi="Arial" w:cs="Arial"/>
    </w:rPr>
  </w:style>
  <w:style w:type="paragraph" w:styleId="Bezodstpw">
    <w:name w:val="No Spacing"/>
    <w:link w:val="BezodstpwZnak"/>
    <w:uiPriority w:val="1"/>
    <w:qFormat/>
    <w:rsid w:val="00EE6504"/>
    <w:pPr>
      <w:spacing w:after="0" w:line="240" w:lineRule="auto"/>
    </w:pPr>
    <w:rPr>
      <w:rFonts w:eastAsiaTheme="minorEastAsia"/>
      <w:kern w:val="0"/>
      <w:sz w:val="22"/>
      <w:szCs w:val="22"/>
      <w:lang w:eastAsia="pl-PL"/>
      <w14:ligatures w14:val="none"/>
    </w:rPr>
  </w:style>
  <w:style w:type="character" w:customStyle="1" w:styleId="BezodstpwZnak">
    <w:name w:val="Bez odstępów Znak"/>
    <w:basedOn w:val="Domylnaczcionkaakapitu"/>
    <w:link w:val="Bezodstpw"/>
    <w:uiPriority w:val="1"/>
    <w:rsid w:val="00EE6504"/>
    <w:rPr>
      <w:rFonts w:eastAsiaTheme="minorEastAsia"/>
      <w:kern w:val="0"/>
      <w:sz w:val="22"/>
      <w:szCs w:val="22"/>
      <w:lang w:eastAsia="pl-PL"/>
      <w14:ligatures w14:val="none"/>
    </w:rPr>
  </w:style>
  <w:style w:type="paragraph" w:styleId="Nagwekspisutreci">
    <w:name w:val="TOC Heading"/>
    <w:basedOn w:val="Nagwek1"/>
    <w:next w:val="Normalny"/>
    <w:uiPriority w:val="39"/>
    <w:unhideWhenUsed/>
    <w:qFormat/>
    <w:rsid w:val="00EE6504"/>
    <w:pPr>
      <w:spacing w:after="0" w:line="259" w:lineRule="auto"/>
      <w:outlineLvl w:val="9"/>
    </w:pPr>
    <w:rPr>
      <w:rFonts w:asciiTheme="minorHAnsi" w:hAnsiTheme="minorHAnsi"/>
      <w:b/>
      <w:color w:val="auto"/>
      <w:kern w:val="0"/>
      <w:sz w:val="28"/>
      <w:szCs w:val="32"/>
      <w:lang w:eastAsia="pl-PL"/>
      <w14:ligatures w14:val="none"/>
    </w:rPr>
  </w:style>
  <w:style w:type="paragraph" w:styleId="Spistreci1">
    <w:name w:val="toc 1"/>
    <w:basedOn w:val="Normalny"/>
    <w:next w:val="Normalny"/>
    <w:autoRedefine/>
    <w:uiPriority w:val="39"/>
    <w:unhideWhenUsed/>
    <w:rsid w:val="00EE6504"/>
    <w:pPr>
      <w:spacing w:after="100"/>
      <w:jc w:val="both"/>
    </w:pPr>
    <w:rPr>
      <w:rFonts w:asciiTheme="minorHAnsi" w:eastAsia="SimSun" w:hAnsiTheme="minorHAnsi" w:cstheme="minorBidi"/>
      <w:sz w:val="22"/>
      <w:szCs w:val="22"/>
      <w:lang w:eastAsia="en-US"/>
    </w:rPr>
  </w:style>
  <w:style w:type="paragraph" w:styleId="Spistreci2">
    <w:name w:val="toc 2"/>
    <w:basedOn w:val="Normalny"/>
    <w:next w:val="Normalny"/>
    <w:autoRedefine/>
    <w:uiPriority w:val="39"/>
    <w:unhideWhenUsed/>
    <w:rsid w:val="00EE6504"/>
    <w:pPr>
      <w:spacing w:after="100"/>
      <w:ind w:left="220"/>
      <w:jc w:val="both"/>
    </w:pPr>
    <w:rPr>
      <w:rFonts w:asciiTheme="minorHAnsi" w:eastAsia="SimSun" w:hAnsiTheme="minorHAnsi" w:cstheme="minorBidi"/>
      <w:sz w:val="22"/>
      <w:szCs w:val="22"/>
      <w:lang w:eastAsia="en-US"/>
    </w:rPr>
  </w:style>
  <w:style w:type="paragraph" w:styleId="Spistreci3">
    <w:name w:val="toc 3"/>
    <w:basedOn w:val="Normalny"/>
    <w:next w:val="Normalny"/>
    <w:autoRedefine/>
    <w:uiPriority w:val="39"/>
    <w:unhideWhenUsed/>
    <w:rsid w:val="00EE6504"/>
    <w:pPr>
      <w:spacing w:after="100"/>
      <w:ind w:left="440"/>
      <w:jc w:val="both"/>
    </w:pPr>
    <w:rPr>
      <w:rFonts w:asciiTheme="minorHAnsi" w:eastAsia="SimSun" w:hAnsiTheme="minorHAnsi" w:cstheme="minorBidi"/>
      <w:sz w:val="22"/>
      <w:szCs w:val="22"/>
      <w:lang w:eastAsia="en-US"/>
    </w:rPr>
  </w:style>
  <w:style w:type="character" w:styleId="Hipercze">
    <w:name w:val="Hyperlink"/>
    <w:basedOn w:val="Domylnaczcionkaakapitu"/>
    <w:uiPriority w:val="99"/>
    <w:unhideWhenUsed/>
    <w:rsid w:val="00EE6504"/>
    <w:rPr>
      <w:color w:val="0563C1" w:themeColor="hyperlink"/>
      <w:u w:val="single"/>
    </w:rPr>
  </w:style>
  <w:style w:type="character" w:styleId="Pogrubienie">
    <w:name w:val="Strong"/>
    <w:basedOn w:val="Domylnaczcionkaakapitu"/>
    <w:uiPriority w:val="22"/>
    <w:qFormat/>
    <w:rsid w:val="00EE6504"/>
    <w:rPr>
      <w:b/>
      <w:bCs/>
    </w:rPr>
  </w:style>
  <w:style w:type="paragraph" w:customStyle="1" w:styleId="pf0">
    <w:name w:val="pf0"/>
    <w:basedOn w:val="Normalny"/>
    <w:rsid w:val="00EE6504"/>
    <w:pPr>
      <w:spacing w:before="100" w:beforeAutospacing="1" w:after="100" w:afterAutospacing="1"/>
    </w:pPr>
  </w:style>
  <w:style w:type="character" w:customStyle="1" w:styleId="cf01">
    <w:name w:val="cf01"/>
    <w:basedOn w:val="Domylnaczcionkaakapitu"/>
    <w:rsid w:val="00EE650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C29A0-754D-457F-9415-A3C209CDA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4933</Words>
  <Characters>29598</Characters>
  <Application>Microsoft Office Word</Application>
  <DocSecurity>0</DocSecurity>
  <Lines>246</Lines>
  <Paragraphs>68</Paragraphs>
  <ScaleCrop>false</ScaleCrop>
  <Company/>
  <LinksUpToDate>false</LinksUpToDate>
  <CharactersWithSpaces>34463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Xymena Kręciszewska</dc:creator>
  <cp:keywords/>
  <dc:description/>
  <cp:lastModifiedBy>Piotr Kolasiński</cp:lastModifiedBy>
  <cp:revision>9</cp:revision>
  <cp:lastPrinted>2026-06-24T10:28:00Z</cp:lastPrinted>
  <dcterms:created xsi:type="dcterms:W3CDTF">2026-05-26T11:17:00Z</dcterms:created>
  <dcterms:modified xsi:type="dcterms:W3CDTF">2026-07-07T12:10:00Z</dcterms:modified>
</cp:coreProperties>
</file>